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r>
        <w:rPr>
          <w:rFonts w:ascii="Times New Roman" w:hAnsi="Times New Roman" w:eastAsia="方正小标宋简体"/>
          <w:spacing w:val="-22"/>
          <w:sz w:val="44"/>
          <w:szCs w:val="44"/>
        </w:rPr>
        <w:t>中共启东市商务局（市口岸办）党组</w:t>
      </w:r>
    </w:p>
    <w:p>
      <w:pPr>
        <w:jc w:val="center"/>
        <w:rPr>
          <w:rFonts w:ascii="Times New Roman" w:hAnsi="Times New Roman" w:eastAsia="方正楷体_GBK"/>
          <w:szCs w:val="32"/>
        </w:rPr>
      </w:pPr>
      <w:r>
        <w:rPr>
          <w:rFonts w:ascii="Times New Roman" w:hAnsi="Times New Roman" w:eastAsia="方正小标宋简体"/>
          <w:spacing w:val="-22"/>
          <w:sz w:val="44"/>
          <w:szCs w:val="44"/>
        </w:rPr>
        <w:t>关于巡察整改进展情况的报告</w:t>
      </w:r>
    </w:p>
    <w:p>
      <w:pPr>
        <w:spacing w:line="560" w:lineRule="exact"/>
        <w:ind w:firstLine="640"/>
        <w:rPr>
          <w:rFonts w:ascii="Times New Roman" w:hAnsi="Times New Roman"/>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根据启东市委统一部署，2020年</w:t>
      </w:r>
      <w:r>
        <w:rPr>
          <w:rFonts w:hint="eastAsia" w:ascii="Times New Roman" w:hAnsi="Times New Roman" w:eastAsia="仿宋_GB2312"/>
          <w:sz w:val="32"/>
          <w:szCs w:val="32"/>
        </w:rPr>
        <w:t>4月中旬至7月中旬</w:t>
      </w:r>
      <w:r>
        <w:rPr>
          <w:rFonts w:ascii="Times New Roman" w:hAnsi="Times New Roman" w:eastAsia="仿宋_GB2312"/>
          <w:sz w:val="32"/>
          <w:szCs w:val="32"/>
        </w:rPr>
        <w:t>，十三届启东市委第十四轮巡察三组对启东市商务局（市口岸办）进行了巡察。2020年9月28日，十三届启东市委第十四轮巡察三组向启东市商务局（市口岸办）党组反馈了巡察意见。按照党务公开原则和巡察工作有关要求，现将巡察整改进展情况予以公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一、巡察整改的工作做法</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（一）压实整改责任，强化组织领导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局党组高度重视对巡察组反馈的意见整改落实，把巡察问题整改工作当作当前的一项最主要的政治任务来落实。积极部署、主动作为，多次组织召开党组会、行政办公会、整改动员会、整改工作推进会等，专题研究部署巡察整改工作，明确了明确了局党组书记对整改落实工作负总责，其他班子成员是分管范围内整改的第一责任人，相关科室负责人是整改的直接责任人，负责具体问题整改落实，形成了一级抓一级、层层抓落实的工作格局。全体班子成员对照巡察反馈问题，切实把自己摆进去，查摆自身存在问题，深挖问题根源、制定措施，撰写剖析材料，召开民主生活会，开展批评和自我批评，为巡察整改工作的有序推进奠定了坚实的基础。</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（二）制定整改方案，强化工作举措</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局党组召开会议，针对巡察反馈的三大类19个问题，全面梳理、深入剖析，研究讨论具体整改措施，制订了切实可行的《启东市商务局（市口岸办）党组落实市委巡察反馈意见整改方案》（启商〔2020〕171号），明确了整改的基本原则、时间步骤和工作要求，制定了具体的责任领导、责任科室和责任人，形成了整改问题清单、任务清单和责任清单，按照责任分工、目标任务和整改时限，实行销号式管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（三）狠抓督促指导，加强压力传导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局党组明确了“即知即改、限时整改、完成销号、建立长效”的工作要求，要求各整改责任人切实做到认真改、坚决改、彻底改，不打折扣、不留死角、不拖沓推辞。严格实行台账式管理、销号制落实。全程跟踪，经常性查看整改进度，及时掌握整改工作推进情况，明确阶段任务，布置具体工作，全面跟踪落实情况，要求各责任领导全面监督，确保问题一个不少，措施一条不落，整改落实到位。</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二、问题整改情况</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（一）聚焦贯彻落实党的路线方针政策和党中央决策部署情况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1.关于“引领谋划全市商务工作站位不够高”问题的整改情况。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商务局党组不断加强领导，压实主体责任，领导班子成员率先垂范，深入企业开展调研，强化上级决策部署落实。</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招引大项目较少的情况：一是进一步突出重大项目招引力度。今年，面对疫情的影响和周边竞争的加剧，我局系统梳理招商思路，全力聚焦“产业、平台、企业、渠道”招商四大关键要素，立足上海、苏南主战场，面向大产业，用好大平台，瞄准大企业，精准对接渠道，高效招引特大项目。二是进一步加强在手在谈重大项目推进力度。对全市重要在谈项目、重大项目以及重点企业排好推进时间表，建立完善市领导挂钩重大项目联系机制，每周更新进度。项目推进实施从信息捕捉到落地进行全流程、全方位跟踪服务；加强内部协调沟通，切实解决项目落地过程中存在的问题；对成熟优质项目及时邀请市领导拜访推进，加强沟通对接，力促项目早日注册落地。目前全市在手在谈10亿元以上重大项目69个，均由市领导挂帅推进。今年以来，市委市政府主要领导外出拜访66次、推进项目55个，市四套班子领导外出拜访推进项目256次、推进项目237个。新引进签约10亿元以上项目30个，其中20亿元以上项目15个，50亿元以上4个，100亿元以上2个。</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产业配套不够到位的问题：一是持续完善产业配套政策。我市先后出台《加快推进半导体装备及材料产业发展的若干政策》、《启东市加快生物医药与生命健康产业发展实施意见（试行）》、《关于优化生命健康产业租赁型、代建型项目招引政策的意见（试行）》、《关于支持加快建设启东配套浦东产业园的若干政策（试行）》、《启东市加快推进工业经济高质量发展若干政策意见（试行）》等系列政策，吸引相关行业企业落户我市，加快产业集群集聚发展；二是加快推进园区产业配套建设。加快推进力合科创孵化平台、中城高端医疗器械产业基地项目建设。生命健康科技园绿地标准化厂房将于年后投入使用，目前已有多个企业草签入驻协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引导企业开拓海外市场的举措和办法不多的问题，一是开展交流学习。11月16日，局分管领导带领科室全体成员及启东市对外经济技术合作有限公司管理人员赴如东县商务局交流学习，并与如东海外公司对接，学习其外派劳务的成功经验，收获颇丰。二是积极推进政企校合作。12月20日，组织启东市对外经济技术合作有限公司赴陕西西乡与职业技术学校进行沟通对接，向校相关负责人介绍出国劳务的优势，商议建立出国日语、劳务培训合作基地，联合办学，定向培养、输送技能型国际劳务人才，把政企校合作真正落到实处。三是组织企业参加“走出去”培训说明会。让企业充分了解我市现有境外企业的前沿信息资源，进一步发挥好辐射效应，努力解决我市境外市场信息渠道闭塞、信息量不足的瓶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推动电商发展办法不多的问题，积极利用网络平台开展电商培训，大力培养农村电商实用人才，今年以来共组织近300余人次参加了25期省商务厅组织的网上电商培训。开展贫困村、贫困户农产品信息收集，加强农副产品、生产资料和社会需求等信息对接，发挥农村电商服务网点的特色优质农产品上行和生产资料下行功能，帮助拓展农产品销售渠道。支持有条件的电商经营主体收购贫困户农产品，并按政策给予补助。新增电商经营主体10家。培育“电商企业+经营主体+贫困户”模式电商企业4个。组织电商企业通过微信、直播、快手、抖音等社交电商平台累计促销滞销农产品30余万元。2020年获评淘宝镇2个，淘宝村5个。</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2.关于“落实‘六稳’‘六保’措施效果不够明显”问题的整改情况。</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针对</w:t>
      </w:r>
      <w:r>
        <w:rPr>
          <w:rFonts w:ascii="Times New Roman" w:hAnsi="Times New Roman" w:eastAsia="仿宋_GB2312"/>
          <w:sz w:val="32"/>
          <w:szCs w:val="32"/>
        </w:rPr>
        <w:t>保供应链协调支持力度不够的问题，受疫情影响，批零住餐业受到不同程度影响，积极与市融媒体中心沟通，免费为商超、汽车4S店、餐饮等企业做了2次专版促销宣传活动，鼓励商超推出各类促销活动，拉动消费。6月初，联合文明办、市管局、城管局等单位在吾悦广场举办启东市“夜经济”启动仪式，现全市多家商场如吾悦广场、亿丰商城、文峰大世界、太平洋百货均申请举办广场夜市活动，通过活动的开展带动商场人气，促进消费。促进夜经济的发展不仅是我市消费的“新蓝海”，更能为我市的经济发展注入新动能。联合启东团市委，依托今启网，帮助企业进行直播带货。为深入贯彻落实党中央、国务院关于实施扩大内需战略，扎实做好“六稳”工作，全面落实“六保”任务的决策部署，9月份消费促进月期间开展了“嗨购大放送”、外贸优品汇、“启东（首届）城市汽车节”、“美食促销季”、苏陕合作农产品推广等系类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针对</w:t>
      </w:r>
      <w:r>
        <w:rPr>
          <w:rFonts w:ascii="Times New Roman" w:hAnsi="Times New Roman" w:eastAsia="仿宋_GB2312"/>
          <w:sz w:val="32"/>
          <w:szCs w:val="32"/>
        </w:rPr>
        <w:t>稳外贸措施不够完善的问题，</w:t>
      </w:r>
      <w:r>
        <w:rPr>
          <w:rFonts w:ascii="Times New Roman" w:hAnsi="Times New Roman" w:eastAsia="仿宋"/>
          <w:sz w:val="32"/>
          <w:szCs w:val="32"/>
        </w:rPr>
        <w:t>一是</w:t>
      </w:r>
      <w:r>
        <w:rPr>
          <w:rFonts w:ascii="Times New Roman" w:hAnsi="Times New Roman" w:eastAsia="仿宋_GB2312"/>
          <w:sz w:val="32"/>
          <w:szCs w:val="32"/>
        </w:rPr>
        <w:t>优化完善外贸政策。根据外贸企业实际情况，面对新形势、新变化，在最近出台的商务发展切块资金使用文件（《关于组织2020年商务发展专项资金支持项目申报工作的通知》（启商〔2020〕150号））中对疫情期间出台的文件进行了补充，对原有政策进行了部分调整。二是改变外贸传统接单模式。组织外贸企业参加江苏省、南通市组织的线上展会外，10月13日-14日商务局还联合中国机电产品进出口商会举办了启东首场五金工具行业线上精准采购洽谈会。三是加大对中小微企业中信保扶持。建立南通首家县级市中信保统保平台，实现对年出口3000万美元外贸企业出口信用保险全覆盖，切实降低外贸企业出口风险，为企业保驾护航。</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保消费促内需政策措施落实不力的问题，我局与财政局联合发文《关于应对新冠肺炎疫情支持内贸企业稳定发展项目申报工作的通知》（启商〔2020〕104号），对为配合政府做好保供稳价、防疫疫情且主动为经营户减免租金的经营生活必需品的大型商场超市、农产品批发市场等企业，按照其减免租金总额的20%给予财政补贴，共计对符合要求的4家企业发放补贴29.73万元。联合财政局、总工会发放了1000万元的各类型电子消费券，围绕“品质生活·苏新消费”一个主题，引导消费者“出家门、进入市场”，活跃市场消费，激发市场活力。截止11月30日我们共计发放了3批次11轮共7大类320056张合计1000万元各类型消费券，综合核销率53.29%，其中超市券、百货券、汽车券核销率均在50%以上，超市券核销率最高，达到61.90%。累计推动消费近2亿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3.关于“推进安全生产工作不够扎实”问题的整改情况。</w:t>
      </w:r>
    </w:p>
    <w:p>
      <w:pPr>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针对大型商超安全监管不严的问题，通过购买服务，聘请第三方服务公司对全市56家500平米以上超市进行全覆盖安全生产检查，进一步加强对商贸流通领域安全生产的监管，做到纵向到位，横向到边，不留一个死角。通过召开重点商贸流通企业负责人会议、开展消防专题培训，动员商超积极参与“安全生产月”各项活动，举办消防演练和消防技能培训等，让安全生产意识深入人心，筑牢安全防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针对加油站监管存在薄弱环节的问题，东海镇大丰加油站目前处于改造中，预计还有一个半月左右的工期，待完成改造后对其进行验收，通过验收之后方可经营。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看管缉私扣留船舶的安全风险较大的问题：2020年，启东市商务局通过公开招标的方式，确定南通达旺船务运输有限公司对我市缉私扣留船舶进行专业化看管，要求企业配备必要防护和应急设施设备。在打击走私行动案件处置过程，协调长航公安、边检、海警等业务部门加快办案进度，并协调市管等部门及时做好油品的鉴定和抽卸存贮原油工作，做好对扣留船舶的看管工作，保证人员与扣押船舶的安全。强有力提高走私船舶的看护能力，大大降低了安全风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针对安全生产台账资料不完善的问题，我局对安全生产工作方案进行系统梳理，对缺少的材料已补充完整。梳理今年以来的安全检查工作情况，目前各企业对各项隐患问题已全部完成整改，形成闭环管理。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4.关于“招商引资的体制机制还不够畅通”问题的整改情况。</w:t>
      </w:r>
    </w:p>
    <w:p>
      <w:pPr>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针对我市生产要素成本比周边地区偏高的问题，一是加强沟通协调。今年以来，我局先后赴浙江省嘉善县、平湖市，江苏省苏州市吴江区、常熟市四地进行学习考察，调研周边县市生产要素情况，并定期与市行政审批局、市发改委、市国土局等相关部门协调沟通，持续优化我市营商投资环境；二是强化人才招引。今年，我市新出台《关于进一步加快人才发展的若干意见》，加强人才招引力度，打造最优人才生态环境；三是平台助力聚才。发挥我市北大生命科学华东产业研究院、力合科创孵化中心等创新平台引才作用，为人才落户提供便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预审机制不完善的问题，我局拟从以下三个方面改进：一是提前介入。各区镇在获取项目信息后，第一时间组织实地考察，加快项目研判。根据项目实际情况，邀请自然资源局、生态环境局、行政审批局等相关部门负责人或相关行业专家参与。二是及时会商。根据镇区上报项目预审提交情况，及时组织相关部门召开项目预审会。三是完善机制。在目前已完成优化项目预审机制暂行办法初稿基础上进一步优化完善，明确项目预审材料，增加项目预审成员单位等。推进项目预审机制优化增效，及时梳理项目情况，提高预审通过率，加快项目推进落地。今年以来，我局牵头组织相关部门7次，先后对50个项目进行联合预审，共有37个项目顺利通过预审，项目预审通过率74%。</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5.关于“口岸开放功能单一，缺少公共码头和保税功能载体”问题的整改情况。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江苏省新出海口吕四起步港区“2+2”码头建设定位是公共集装箱和散货码头，已于2020年开工建设，我局口岸科提前介入相关建设，多次组织口岸查验单位、吕四开发区和“2+2”码头建设单位现场调研及召开座谈会，指导“2+2”码头建设和开放工作，力争实现码头竣工验收和开放验收“双同步”。2020年我局将“2+2”码头开放工作列入《启东市“十四五”口岸发展规划意见》并上报省口岸委。吕四开发区已开展保税物流中心（B型）前期可行性研究工作，我们将深度参与申报工作，积极协调各级海关部门，并调研学习兄弟单位口岸经验，供市领导决策参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6.关于“打私力量较为薄弱，打私成果难以巩固”问题的整改情况。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商务局在市委市政府的领导和部署下，一如既往的全力支持全市打击走私相关工作。在涉嫌走私案件中，由市领导牵头协调，抽调各个单位的骨干人员组成案件处置小组，积极有效处置相关事宜。今年3月份全面复工复产以来，针对走私违法犯罪活动有所抬头的态势，为配合南通市“惊雷”反走私专项行动，协调组织海警、长航公安等部门开展多次专项打击行动，共查获船舶13艘，扣押油品3000余吨、香烟31000余条、冻品50余吨。</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（二）聚焦群众身边腐败问题和不正之风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7.关于“财务规章制度执行不到位”问题的整改情况。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大额资金使用不够规范的问题已作好整改，要求超3万元以上项目资金填制“大额资金项目审批表”并上党组会议讨论决定。对单位的大额借款要求提前审批，填制“启东市商务局用款申请书”。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下属单位财务监管不到位的问题，一是市商务服务中心租借东珠宾馆办公，每月向东珠宾馆支付水电费，但未开具正式发票。是因为东珠宾馆已统一开具税票，向商务服务中心开出现金收入凭证作为分割发票。二是每年向东晋律师事务所支付法律顾问25000元，在商务服务中心账中支付，是因为商务服务中心人员与商务局人员统用，承担的职能也是商务局中的一块，商务服务中心涉及的涉外劳务经常与法律顾问联系，因此该笔费用从商务服务中心支付。三是水上搜救中心燃油补贴费用总计150000元，未收取税务部门正式发票，以后有类似发放到个人的大额费用要求开具税票，才予以支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往来款未及时调整的问题，一是联检单位土建项目费用及人防易地建设费已在2020年6月第117号凭证中做好调账处理。二是长期应付款99044.7元已在2020年7月第50号凭证中上缴财政。三是长期应付款广东分局利用外资10000元，上海二分局招商引资奖15000元已在2020年7月3日党组会议讨论决定用于弥补招商经费，统配给工作成效明显的分局。四是2010年市政府为一类口岸开放建设，联检单位向财政借款682.5万，后归还380万元，仍欠财政局款302.5万元，2013年商务局收到大唐电厂、润邦海洋等码头企业交来口岸建设费150万元，列商务局长期应付款账户。商务局账上的150万长期应付款于12月116号凭证中还给市财政局，余下的152.5万元，根据财政局要求，已向市政府提交申请报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8.关于“少数政府采购项目程序不规范”问题的整改情况。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在2020年采购工作中，我局组织相关工作人员加强学习工程招标和采购方面的法律法规以及市政府文件，严格按照规定进行采购，及时做好各项采购记录，并做好相关信息公开工作。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9.关于“未能充分发回国有资产增值保值作用”问题的整改情况。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加强与财政局对接，积极做好移交工作。当前还未完成移交，如2021年4月底之前不能完成移交，我局将按照相关程序将门面房对外出租，充分发挥国有资产增值保值作用。</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（三）聚焦党组织软弱涣散、组织力欠缺问题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10.关于“党组议事规则不够完善”问题的整改情况。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并印发了《启东市商务局党组工作规则》（启商〔2020〕126号），进一步完善党组议事规则。要求与会人员充分表态并实行书记末位表态制，对重大决策事项实行科学决策、民主决策、依法决策。明确党组会议记录人员，要求其按照会议精神如实记录，并按照规定存档备查。今年以来共记录党组会议16次140个议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11.关于“‘三重一大’制度不够健全”问题的整改情况。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今年以来，我局在干部选拔任用过程中坚持“信念坚定、为民服务、勤政务实、敢于担当、清正廉洁”好干部标准，牢固树立正确的选人用人导向，严格按照职数预审、民主推荐、党组讨论、组织考察等环节，选拔任用了9名中层干部。安排专人做好党组会议记录和“三重一大事项”备案，按照会议精神详实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12.关于“民主生活会质量不高”问题的整改情况。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今年我局召开巡察整改专题民主生活会，通过会前学</w:t>
      </w:r>
      <w:r>
        <w:rPr>
          <w:rFonts w:hint="eastAsia" w:ascii="Times New Roman" w:hAnsi="Times New Roman" w:eastAsia="仿宋_GB2312"/>
          <w:sz w:val="32"/>
          <w:szCs w:val="32"/>
        </w:rPr>
        <w:t>习</w:t>
      </w:r>
      <w:r>
        <w:rPr>
          <w:rFonts w:ascii="Times New Roman" w:hAnsi="Times New Roman" w:eastAsia="仿宋_GB2312"/>
          <w:sz w:val="32"/>
          <w:szCs w:val="32"/>
        </w:rPr>
        <w:t>，进一步交流思想，要求班子成员对照反馈问题深刻剖析，做到班子成员整改材料亲自撰写，并由主要负责人审阅。加强谈心谈话，围绕巡察反馈的问题，班子成员坦诚相见，推心置腹，虚心征求其他同志对自己的意见建议。民主生活会召开过程中，党组书记带头深入开展批评和自我批评，坚决克服“好人主义”，对其他同志的问题见筋见骨剖析批评，切实达到了“红红脸，出出汗”的效果。今年召开的巡察整改专题民主生活会质量明显提高，达到了预期效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13.关于“中心组理论学习不够到位”问题的整改情况。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强化学习制度执行。按照年初制定的中心组理论学习计划，开展好集中学习研讨，做好学习记录，对中心组成员学习情况进行考勤。今年共开展中心组学习12次，班子成员撰写自学笔记120篇。二是加强对中心组成员学习记录本的检查。结合每季度全面从严治党“两个责任”检查，收集班子成员学习记录本，检查集中学习和个人学习记录情况，对无自学计划、记录不完善的情况督促补充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14.关于“‘两学一做’学习教育推进不够扎实”问题的整改情况。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一是要求</w:t>
      </w:r>
      <w:r>
        <w:rPr>
          <w:rFonts w:hint="eastAsia" w:ascii="Times New Roman" w:hAnsi="Times New Roman" w:eastAsia="仿宋_GB2312"/>
          <w:sz w:val="32"/>
          <w:szCs w:val="32"/>
        </w:rPr>
        <w:t>巡察</w:t>
      </w:r>
      <w:r>
        <w:rPr>
          <w:rFonts w:ascii="Times New Roman" w:hAnsi="Times New Roman" w:eastAsia="仿宋_GB2312"/>
          <w:sz w:val="32"/>
          <w:szCs w:val="32"/>
        </w:rPr>
        <w:t>中发现的发言材料全篇网上摘抄的机关工作人员重新撰写并提交发言材料。二是严格按照学习计划开展学习教育活动，今年开展的“5·10”思廉日、“</w:t>
      </w:r>
      <w:r>
        <w:rPr>
          <w:rFonts w:ascii="Times New Roman" w:hAnsi="Times New Roman" w:eastAsia="仿宋_GB2312"/>
          <w:color w:val="000000"/>
          <w:sz w:val="32"/>
          <w:szCs w:val="32"/>
        </w:rPr>
        <w:t>追寻伟人足迹 践行初心使命</w:t>
      </w:r>
      <w:r>
        <w:rPr>
          <w:rFonts w:ascii="Times New Roman" w:hAnsi="Times New Roman" w:eastAsia="仿宋_GB2312"/>
          <w:sz w:val="32"/>
          <w:szCs w:val="32"/>
        </w:rPr>
        <w:t>”、青年干部培训班等学习教育活动均制定了详细的计划，并按照计划逐步开展，确保了学习活动扎实有序开展。三是对学习教育活动加强监督检查。今年组织的十九届五中全会精神学习有奖征文活动中，要求机关干</w:t>
      </w:r>
      <w:r>
        <w:rPr>
          <w:rFonts w:ascii="Times New Roman" w:hAnsi="Times New Roman" w:eastAsia="仿宋_GB2312"/>
          <w:color w:val="000000"/>
          <w:sz w:val="32"/>
          <w:szCs w:val="32"/>
        </w:rPr>
        <w:t>部紧密联系工作实际，谈思想认识、讲切身体会、说落实举措，对征文开展检查评审，杜绝抄袭现象，并选择15篇原创、优质的征文予以奖励，不断在局机关营造浓厚的学习氛围。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15.关于“组织生活制度落实不全面”问题的整改情况。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三会一课”制度落实不够到位的问题，我局严格落实“三会一课”制度，按照要求每季度召开党员大会和支委会，每个月召开党小组会，班子成员以普通党员身份参加党小组会，每季度由一名班子成员讲党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针对党建台账资料有造假现象的问题，我局指定专门的党务工作人员，做好“三会一课”的组织记录及台账的管理工作，确保了活动有效开展，台账记录详实。</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针对主题党日活动开展不够扎实的问题，我局今年共组织开展了12次主题党日活动，每次均将活动记录及照片发至机关工委，并及时在“智慧党建”系统中予以发布。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针对谈心谈话流于形式的问题，我局组织学习了</w:t>
      </w:r>
      <w:r>
        <w:rPr>
          <w:rFonts w:ascii="Times New Roman" w:hAnsi="Times New Roman" w:eastAsia="仿宋_GB2312"/>
          <w:color w:val="000000"/>
          <w:sz w:val="32"/>
          <w:szCs w:val="32"/>
        </w:rPr>
        <w:t>《市纪委市委组织部关于加强领导干部谈话活动实施办法（试行）》及《关于强化运用监督执纪“第一种形态”、完善党委（党组、党工委）主体责任清单及履责记实相关要求的通知》，明确谈心谈话的各项要求。年初制定了谈心谈话计划表，今年以来共开展谈心谈话64人次，均以机关党建、全面从严治党为重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针对支部换届选举材料及驻外招商分局党建台账资料缺失的问题，我局吸取经验教训，在今年支部委员改选过程中，将请示报告、机关工委的批复、选票等相关台账予以专门整理存放，做到资料不缺失，查询有依据。要求驻外分局妥善保管党建台账，做到适度留痕，巩固党建成果，提升党员的思想觉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16.关于“支部工作记事填写不够规范”问题的整改情况。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落细落实党支部工作记录规范要求，指定专人填写，如实对党支部会议、学习、活动情况进行记录，各项工作记录要及时、准确、详实，避免出现缺项、后补现象，今年以来，支部工作记事填写不断规范。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17.关于“党费收缴不严格”问题的整改情况。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今年以来，我局不断完善党费收缴工作，机关支部党员缴纳党费的自觉性也不断提高，都能做到按时足额缴纳党费。机关全体在职党员均通过江苏银行“直销银行”APP按月缴纳党费，退休同志也主动缴纳全年党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18.关于“发展党员程序不够严谨”问题的整改情况。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商务局机关党支部组织党务工作人员对《中国共产党发展党员工作细则》、《发展党员工作规程》进行学习，并结合市级机关工委要求，对我局十八大以来发展党员工作开展了自查自纠。在今后的工作中，商务局机关党支部将严格按照规定履行党员发展程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19.关于“驻外招商机构人员架构不合理，福利待遇未得到保障”问题的整改情况。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驻外招商机构人员架构不合理的问题，一是优化调整招商架构。我局根据产业招商实际情况及时调整招商力量，注重专业化招商队伍建设，加强生物医药、电子信息半导体、智能制造等专业人才力量。建立完善驻外招商人员考核机制，充分调动招商人员积极性、主动性和创造性。下一步我们拟建立招商人员优胜劣汰机制，根据招商人员工作实绩调整工作架构，协调组织部门及时充实招商力量。二是加强业务水平提升。我局委托知名专业咨询机构，对启东市投资环境、长三角区域协调发展进行研讨分析，针对拟引进的创新产业研究制定专题报告，为招商人员提升自身履职能力精准提供学习素材。今年以来，我局先后在苏州和上海组织开展2次招商业务集中培训，市区域招商分局人员、各区镇分管领导和招商骨干等78人参加。培训主要围绕装备制造、新材料、新能源、生物医药等产业的发展现状、趋势、机遇为学员做专题辅导。通过集中培训，为我市招商人员拓展招商引资途径，创新招商引资方法，进一步增强招商引资的活力和动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针对个别招商员工会福利待遇得不到合理保障这的问题，正在和市教育体育局协调中。</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三、下一步工作打算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我局巡察整改落实工作虽然取得一定成效，但与全面从严治党的要求还有所差距。下一步，我们将不断加强班子思想政治建设，深入推进全面从严治党，持续推进巡察问题整改，确保改出实效。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（一）坚持全面从严治党，加强党风廉政建设。</w:t>
      </w:r>
      <w:r>
        <w:rPr>
          <w:rFonts w:ascii="Times New Roman" w:hAnsi="Times New Roman" w:eastAsia="仿宋_GB2312"/>
          <w:sz w:val="32"/>
          <w:szCs w:val="32"/>
        </w:rPr>
        <w:t xml:space="preserve">运用好市委巡察整改成果，切实履行全面从严治党主体责任，严格落实党风廉政建设责任制，坚持用制度管权、管事、管人，扎牢织密制度的笼子。深入开展纪律教育，引导党员干部牢固树立党章、党规、党纪意识。               </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（二）注重建章立制，构建长效机制。</w:t>
      </w:r>
      <w:r>
        <w:rPr>
          <w:rFonts w:ascii="Times New Roman" w:hAnsi="Times New Roman" w:eastAsia="仿宋_GB2312"/>
          <w:sz w:val="32"/>
          <w:szCs w:val="32"/>
        </w:rPr>
        <w:t>针对市委十四届</w:t>
      </w:r>
      <w:r>
        <w:rPr>
          <w:rFonts w:hint="eastAsia" w:ascii="Times New Roman" w:hAnsi="Times New Roman" w:eastAsia="仿宋_GB2312"/>
          <w:sz w:val="32"/>
          <w:szCs w:val="32"/>
        </w:rPr>
        <w:t>巡察</w:t>
      </w:r>
      <w:r>
        <w:rPr>
          <w:rFonts w:ascii="Times New Roman" w:hAnsi="Times New Roman" w:eastAsia="仿宋_GB2312"/>
          <w:sz w:val="32"/>
          <w:szCs w:val="32"/>
        </w:rPr>
        <w:t>三组指出的问题，倒查制度缺陷，加强制度建设。对整改工作中已经建立的各项制度，坚决抓好落实，确保真正发挥作用。对需要建立的制度，抓紧建立起来，堵塞制度漏洞。对不科学不健全的制度，进一步规范完善，增强制度的执行力度，不断巩固和扩大整改成果，增强干事创业的良好氛围。</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（三）深化后续整改，巩固整改成果。</w:t>
      </w:r>
      <w:r>
        <w:rPr>
          <w:rFonts w:ascii="Times New Roman" w:hAnsi="Times New Roman" w:eastAsia="仿宋_GB2312"/>
          <w:sz w:val="32"/>
          <w:szCs w:val="32"/>
        </w:rPr>
        <w:t>对巡察整改工作紧抓不放，坚持目标不变、力度不减，继续以高</w:t>
      </w:r>
      <w:bookmarkStart w:id="0" w:name="_GoBack"/>
      <w:bookmarkEnd w:id="0"/>
      <w:r>
        <w:rPr>
          <w:rFonts w:ascii="Times New Roman" w:hAnsi="Times New Roman" w:eastAsia="仿宋_GB2312"/>
          <w:sz w:val="32"/>
          <w:szCs w:val="32"/>
        </w:rPr>
        <w:t>标准、严要求推动整改任务落实。对已完成的整改任务，适时组织“回头看”，巩固整改成果。对需要较长时间整改的任务，紧盯不放，做到边整边改、立行立改，真正把整改工作转化为改进作风、促进发展的强大动力，推动我市商务事业高质量发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欢迎广大干部群众对巡察整改落实情况进行监督。如有意见建议，请及时向我们反映。联系方式：电话83312446，邮政信箱：江苏省启东市世纪大道1288号，电子邮箱：shangwuju@qidong.gov.cn。</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启东市商务局（市口岸办）党组</w:t>
      </w:r>
    </w:p>
    <w:p>
      <w:pPr>
        <w:jc w:val="right"/>
      </w:pPr>
      <w:r>
        <w:rPr>
          <w:rFonts w:ascii="Times New Roman" w:hAnsi="Times New Roman" w:eastAsia="仿宋_GB2312"/>
          <w:sz w:val="32"/>
          <w:szCs w:val="32"/>
        </w:rPr>
        <w:t xml:space="preserve">                     2021年1月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8487A40"/>
    <w:rsid w:val="088F544A"/>
    <w:rsid w:val="099D32D1"/>
    <w:rsid w:val="09F845DC"/>
    <w:rsid w:val="0ADE5799"/>
    <w:rsid w:val="0C5023B4"/>
    <w:rsid w:val="0D27569C"/>
    <w:rsid w:val="0DA10470"/>
    <w:rsid w:val="0E14001E"/>
    <w:rsid w:val="0F1D780C"/>
    <w:rsid w:val="0F363490"/>
    <w:rsid w:val="11A159B8"/>
    <w:rsid w:val="128658AF"/>
    <w:rsid w:val="12FC5486"/>
    <w:rsid w:val="136843BE"/>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84800A0"/>
    <w:rsid w:val="59D90013"/>
    <w:rsid w:val="5A1025B8"/>
    <w:rsid w:val="5B667AAB"/>
    <w:rsid w:val="5B8C0632"/>
    <w:rsid w:val="5C6F5F50"/>
    <w:rsid w:val="5CC9539D"/>
    <w:rsid w:val="5D7B25E7"/>
    <w:rsid w:val="5DA26730"/>
    <w:rsid w:val="5E9D0752"/>
    <w:rsid w:val="5FC0055E"/>
    <w:rsid w:val="5FCD3F31"/>
    <w:rsid w:val="607E4681"/>
    <w:rsid w:val="62EA2E44"/>
    <w:rsid w:val="63046CD1"/>
    <w:rsid w:val="65AF1A3F"/>
    <w:rsid w:val="686D3C31"/>
    <w:rsid w:val="687F7427"/>
    <w:rsid w:val="6C050952"/>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