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1000" w:lineRule="exact"/>
        <w:jc w:val="center"/>
        <w:rPr>
          <w:rFonts w:hint="eastAsia" w:ascii="华文新魏" w:eastAsia="华文新魏"/>
          <w:b/>
          <w:bCs/>
          <w:sz w:val="100"/>
          <w:szCs w:val="100"/>
          <w:lang w:val="zh-CN"/>
        </w:rPr>
      </w:pPr>
    </w:p>
    <w:p>
      <w:pPr>
        <w:autoSpaceDE w:val="0"/>
        <w:autoSpaceDN w:val="0"/>
        <w:adjustRightInd w:val="0"/>
        <w:spacing w:line="1000" w:lineRule="exact"/>
        <w:jc w:val="center"/>
        <w:rPr>
          <w:rFonts w:hint="eastAsia" w:ascii="华文新魏" w:eastAsia="华文新魏"/>
          <w:b/>
          <w:bCs/>
          <w:sz w:val="100"/>
          <w:szCs w:val="100"/>
          <w:lang w:val="zh-CN"/>
        </w:rPr>
      </w:pPr>
    </w:p>
    <w:p>
      <w:pPr>
        <w:autoSpaceDE w:val="0"/>
        <w:autoSpaceDN w:val="0"/>
        <w:adjustRightInd w:val="0"/>
        <w:spacing w:line="1000" w:lineRule="exact"/>
        <w:jc w:val="center"/>
        <w:rPr>
          <w:rFonts w:hint="eastAsia" w:ascii="华文新魏" w:eastAsia="华文新魏"/>
          <w:b/>
          <w:bCs/>
          <w:sz w:val="100"/>
          <w:szCs w:val="100"/>
          <w:lang w:val="zh-CN"/>
        </w:rPr>
      </w:pPr>
    </w:p>
    <w:p>
      <w:pPr>
        <w:autoSpaceDE w:val="0"/>
        <w:autoSpaceDN w:val="0"/>
        <w:adjustRightInd w:val="0"/>
        <w:spacing w:line="1000" w:lineRule="exact"/>
        <w:jc w:val="center"/>
        <w:rPr>
          <w:rFonts w:hint="eastAsia" w:ascii="华文新魏" w:hAnsi="Arial Narrow" w:eastAsia="华文新魏"/>
          <w:b/>
          <w:bCs/>
          <w:sz w:val="100"/>
          <w:szCs w:val="100"/>
          <w:lang w:val="zh-CN"/>
        </w:rPr>
      </w:pPr>
      <w:bookmarkStart w:id="0" w:name="_GoBack"/>
      <w:r>
        <w:rPr>
          <w:rFonts w:hint="eastAsia" w:ascii="华文新魏" w:eastAsia="华文新魏"/>
          <w:b/>
          <w:bCs/>
          <w:sz w:val="100"/>
          <w:szCs w:val="100"/>
          <w:lang w:val="zh-CN"/>
        </w:rPr>
        <w:t>竞争性谈判</w:t>
      </w:r>
      <w:bookmarkEnd w:id="0"/>
      <w:r>
        <w:rPr>
          <w:rFonts w:hint="eastAsia" w:ascii="华文新魏" w:hAnsi="Arial Narrow" w:eastAsia="华文新魏"/>
          <w:b/>
          <w:bCs/>
          <w:sz w:val="100"/>
          <w:szCs w:val="100"/>
          <w:lang w:val="zh-CN"/>
        </w:rPr>
        <w:t>文件</w:t>
      </w:r>
    </w:p>
    <w:p>
      <w:pPr>
        <w:pStyle w:val="11"/>
        <w:rPr>
          <w:rFonts w:hint="eastAsia" w:ascii="宋体" w:hAnsi="宋体" w:eastAsia="宋体" w:cs="宋体"/>
        </w:rPr>
      </w:pPr>
    </w:p>
    <w:p>
      <w:pPr>
        <w:rPr>
          <w:rFonts w:hint="eastAsia" w:ascii="宋体" w:hAnsi="宋体" w:eastAsia="宋体" w:cs="宋体"/>
        </w:rPr>
      </w:pPr>
    </w:p>
    <w:p>
      <w:pPr>
        <w:pStyle w:val="11"/>
        <w:rPr>
          <w:rFonts w:hint="eastAsia" w:ascii="宋体" w:hAnsi="宋体" w:eastAsia="宋体" w:cs="宋体"/>
        </w:rPr>
      </w:pPr>
    </w:p>
    <w:p>
      <w:pPr>
        <w:pStyle w:val="11"/>
        <w:rPr>
          <w:rFonts w:hint="eastAsia" w:ascii="宋体" w:hAnsi="宋体" w:eastAsia="宋体" w:cs="宋体"/>
        </w:rPr>
      </w:pPr>
    </w:p>
    <w:p>
      <w:pPr>
        <w:spacing w:line="500" w:lineRule="exact"/>
        <w:ind w:left="1638" w:hanging="1560" w:hangingChars="500"/>
        <w:jc w:val="left"/>
        <w:rPr>
          <w:rFonts w:hint="eastAsia" w:ascii="宋体" w:hAnsi="宋体" w:eastAsia="宋体" w:cs="宋体"/>
          <w:b w:val="0"/>
          <w:bCs w:val="0"/>
          <w:spacing w:val="-6"/>
          <w:w w:val="90"/>
          <w:sz w:val="36"/>
          <w:szCs w:val="36"/>
          <w:lang w:eastAsia="zh-CN"/>
        </w:rPr>
      </w:pPr>
      <w:r>
        <w:rPr>
          <w:rFonts w:hint="eastAsia" w:ascii="宋体" w:hAnsi="宋体" w:eastAsia="宋体" w:cs="宋体"/>
          <w:b w:val="0"/>
          <w:bCs w:val="0"/>
          <w:spacing w:val="-6"/>
          <w:w w:val="90"/>
          <w:sz w:val="36"/>
          <w:szCs w:val="36"/>
        </w:rPr>
        <w:t>项目名称：启东市党风廉政建设教育中心电梯维保项目</w:t>
      </w:r>
      <w:r>
        <w:rPr>
          <w:rFonts w:hint="eastAsia" w:ascii="宋体" w:hAnsi="宋体" w:eastAsia="宋体" w:cs="宋体"/>
          <w:b w:val="0"/>
          <w:bCs w:val="0"/>
          <w:spacing w:val="-6"/>
          <w:w w:val="90"/>
          <w:sz w:val="36"/>
          <w:szCs w:val="36"/>
          <w:lang w:eastAsia="zh-CN"/>
        </w:rPr>
        <w:t>（</w:t>
      </w:r>
      <w:r>
        <w:rPr>
          <w:rFonts w:hint="eastAsia" w:ascii="宋体" w:hAnsi="宋体" w:eastAsia="宋体" w:cs="宋体"/>
          <w:b w:val="0"/>
          <w:bCs w:val="0"/>
          <w:spacing w:val="-6"/>
          <w:w w:val="90"/>
          <w:sz w:val="36"/>
          <w:szCs w:val="36"/>
          <w:lang w:val="en-US" w:eastAsia="zh-CN"/>
        </w:rPr>
        <w:t>第二次</w:t>
      </w:r>
      <w:r>
        <w:rPr>
          <w:rFonts w:hint="eastAsia" w:ascii="宋体" w:hAnsi="宋体" w:eastAsia="宋体" w:cs="宋体"/>
          <w:b w:val="0"/>
          <w:bCs w:val="0"/>
          <w:spacing w:val="-6"/>
          <w:w w:val="90"/>
          <w:sz w:val="36"/>
          <w:szCs w:val="36"/>
          <w:lang w:eastAsia="zh-CN"/>
        </w:rPr>
        <w:t>）</w:t>
      </w:r>
    </w:p>
    <w:p>
      <w:pPr>
        <w:pStyle w:val="11"/>
        <w:rPr>
          <w:rFonts w:hint="eastAsia" w:ascii="宋体" w:hAnsi="宋体" w:eastAsia="宋体" w:cs="宋体"/>
        </w:rPr>
      </w:pPr>
    </w:p>
    <w:p>
      <w:pPr>
        <w:rPr>
          <w:rFonts w:hint="eastAsia" w:ascii="宋体" w:hAnsi="宋体" w:eastAsia="宋体" w:cs="宋体"/>
        </w:rPr>
      </w:pPr>
    </w:p>
    <w:p>
      <w:pPr>
        <w:pStyle w:val="11"/>
        <w:rPr>
          <w:rFonts w:hint="eastAsia" w:ascii="宋体" w:hAnsi="宋体" w:eastAsia="宋体" w:cs="宋体"/>
        </w:rPr>
      </w:pPr>
    </w:p>
    <w:p>
      <w:pPr>
        <w:rPr>
          <w:rFonts w:hint="eastAsia" w:ascii="宋体" w:hAnsi="宋体" w:eastAsia="宋体" w:cs="宋体"/>
        </w:rPr>
      </w:pPr>
    </w:p>
    <w:p>
      <w:pPr>
        <w:pStyle w:val="11"/>
        <w:rPr>
          <w:rFonts w:hint="eastAsia" w:ascii="宋体" w:hAnsi="宋体" w:eastAsia="宋体" w:cs="宋体"/>
        </w:rPr>
      </w:pPr>
    </w:p>
    <w:p>
      <w:pPr>
        <w:rPr>
          <w:rFonts w:hint="eastAsia" w:ascii="宋体" w:hAnsi="宋体" w:eastAsia="宋体" w:cs="宋体"/>
        </w:rPr>
      </w:pPr>
    </w:p>
    <w:p>
      <w:pPr>
        <w:pStyle w:val="11"/>
        <w:rPr>
          <w:rFonts w:hint="eastAsia" w:ascii="宋体" w:hAnsi="宋体" w:eastAsia="宋体" w:cs="宋体"/>
        </w:rPr>
      </w:pPr>
    </w:p>
    <w:p>
      <w:pPr>
        <w:rPr>
          <w:rFonts w:hint="eastAsia" w:ascii="宋体" w:hAnsi="宋体" w:eastAsia="宋体" w:cs="宋体"/>
        </w:rPr>
      </w:pPr>
    </w:p>
    <w:p>
      <w:pPr>
        <w:pStyle w:val="11"/>
        <w:rPr>
          <w:rFonts w:hint="eastAsia" w:ascii="宋体" w:hAnsi="宋体" w:eastAsia="宋体" w:cs="宋体"/>
        </w:rPr>
      </w:pPr>
    </w:p>
    <w:p>
      <w:pPr>
        <w:rPr>
          <w:rFonts w:hint="eastAsia" w:ascii="宋体" w:hAnsi="宋体" w:eastAsia="宋体" w:cs="宋体"/>
        </w:rPr>
      </w:pPr>
    </w:p>
    <w:p>
      <w:pPr>
        <w:pStyle w:val="11"/>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11"/>
        <w:rPr>
          <w:rFonts w:hint="eastAsia" w:ascii="宋体" w:hAnsi="宋体" w:eastAsia="宋体" w:cs="宋体"/>
        </w:rPr>
      </w:pPr>
    </w:p>
    <w:p>
      <w:pPr>
        <w:rPr>
          <w:rFonts w:hint="eastAsia" w:ascii="宋体" w:hAnsi="宋体" w:eastAsia="宋体" w:cs="宋体"/>
        </w:rPr>
      </w:pPr>
    </w:p>
    <w:p>
      <w:pPr>
        <w:spacing w:line="500" w:lineRule="exact"/>
        <w:jc w:val="center"/>
        <w:rPr>
          <w:rFonts w:hint="eastAsia" w:ascii="宋体" w:hAnsi="宋体" w:eastAsia="宋体" w:cs="Times New Roman"/>
          <w:b/>
          <w:sz w:val="36"/>
          <w:szCs w:val="36"/>
        </w:rPr>
      </w:pPr>
      <w:r>
        <w:rPr>
          <w:rFonts w:hint="eastAsia" w:ascii="宋体" w:hAnsi="宋体" w:eastAsia="宋体" w:cs="Times New Roman"/>
          <w:b/>
          <w:sz w:val="36"/>
          <w:szCs w:val="36"/>
          <w:lang w:val="en-US" w:eastAsia="zh-CN"/>
        </w:rPr>
        <w:tab/>
      </w:r>
      <w:r>
        <w:rPr>
          <w:rFonts w:hint="eastAsia" w:ascii="宋体" w:hAnsi="宋体" w:eastAsia="宋体" w:cs="Times New Roman"/>
          <w:b/>
          <w:sz w:val="36"/>
          <w:szCs w:val="36"/>
          <w:lang w:eastAsia="zh-CN"/>
        </w:rPr>
        <w:t>启东市党风廉政建设教育中心</w:t>
      </w:r>
    </w:p>
    <w:p>
      <w:pPr>
        <w:spacing w:line="500" w:lineRule="exact"/>
        <w:jc w:val="center"/>
        <w:rPr>
          <w:rFonts w:hint="eastAsia" w:ascii="FangSong_GB2312" w:eastAsia="FangSong_GB2312"/>
          <w:b/>
          <w:sz w:val="36"/>
          <w:szCs w:val="36"/>
          <w:highlight w:val="none"/>
        </w:rPr>
      </w:pPr>
      <w:r>
        <w:rPr>
          <w:rFonts w:hint="eastAsia" w:ascii="宋体" w:hAnsi="宋体"/>
          <w:b/>
          <w:sz w:val="36"/>
          <w:szCs w:val="36"/>
          <w:highlight w:val="none"/>
          <w:lang w:val="en-US" w:eastAsia="zh-CN"/>
        </w:rPr>
        <w:t xml:space="preserve">  </w:t>
      </w:r>
      <w:r>
        <w:rPr>
          <w:rFonts w:hint="eastAsia" w:ascii="宋体" w:hAnsi="宋体"/>
          <w:b/>
          <w:sz w:val="36"/>
          <w:szCs w:val="36"/>
          <w:highlight w:val="none"/>
        </w:rPr>
        <w:t>二〇二</w:t>
      </w:r>
      <w:r>
        <w:rPr>
          <w:rFonts w:hint="eastAsia" w:ascii="宋体" w:hAnsi="宋体"/>
          <w:b/>
          <w:sz w:val="36"/>
          <w:szCs w:val="36"/>
          <w:highlight w:val="none"/>
          <w:lang w:val="en-US" w:eastAsia="zh-CN"/>
        </w:rPr>
        <w:t>四</w:t>
      </w:r>
      <w:r>
        <w:rPr>
          <w:rFonts w:hint="eastAsia" w:ascii="宋体" w:hAnsi="宋体"/>
          <w:b/>
          <w:sz w:val="36"/>
          <w:szCs w:val="36"/>
          <w:highlight w:val="none"/>
        </w:rPr>
        <w:t>年</w:t>
      </w:r>
      <w:r>
        <w:rPr>
          <w:rFonts w:hint="eastAsia" w:ascii="宋体" w:hAnsi="宋体"/>
          <w:b/>
          <w:sz w:val="36"/>
          <w:szCs w:val="36"/>
          <w:highlight w:val="none"/>
          <w:lang w:val="en-US" w:eastAsia="zh-CN"/>
        </w:rPr>
        <w:t>四</w:t>
      </w:r>
      <w:r>
        <w:rPr>
          <w:rFonts w:hint="eastAsia" w:ascii="宋体" w:hAnsi="宋体"/>
          <w:b/>
          <w:sz w:val="36"/>
          <w:szCs w:val="36"/>
          <w:highlight w:val="none"/>
        </w:rPr>
        <w:t>月</w:t>
      </w:r>
      <w:r>
        <w:rPr>
          <w:rFonts w:hint="eastAsia" w:ascii="宋体" w:hAnsi="宋体"/>
          <w:b/>
          <w:sz w:val="36"/>
          <w:szCs w:val="36"/>
          <w:highlight w:val="none"/>
          <w:lang w:val="en-US" w:eastAsia="zh-CN"/>
        </w:rPr>
        <w:t>二十五</w:t>
      </w:r>
      <w:r>
        <w:rPr>
          <w:rFonts w:hint="eastAsia" w:ascii="宋体" w:hAnsi="宋体"/>
          <w:b/>
          <w:sz w:val="36"/>
          <w:szCs w:val="36"/>
          <w:highlight w:val="none"/>
        </w:rPr>
        <w:t>日</w:t>
      </w:r>
    </w:p>
    <w:p>
      <w:pPr>
        <w:adjustRightInd w:val="0"/>
        <w:snapToGrid w:val="0"/>
        <w:rPr>
          <w:rFonts w:hint="eastAsia" w:ascii="宋体" w:hAnsi="宋体" w:eastAsia="宋体" w:cs="Times New Roman"/>
          <w:b/>
          <w:snapToGrid w:val="0"/>
          <w:sz w:val="24"/>
          <w:szCs w:val="28"/>
        </w:rPr>
      </w:pPr>
      <w:r>
        <w:rPr>
          <w:rFonts w:hint="eastAsia" w:ascii="宋体" w:hAnsi="宋体" w:eastAsia="宋体" w:cs="Times New Roman"/>
          <w:b/>
          <w:snapToGrid w:val="0"/>
          <w:sz w:val="24"/>
          <w:szCs w:val="28"/>
        </w:rPr>
        <w:t xml:space="preserve">                 </w:t>
      </w:r>
    </w:p>
    <w:p>
      <w:pPr>
        <w:adjustRightInd w:val="0"/>
        <w:snapToGrid w:val="0"/>
        <w:spacing w:afterLines="50" w:line="360" w:lineRule="auto"/>
        <w:ind w:left="-158" w:leftChars="-75"/>
        <w:rPr>
          <w:rFonts w:hint="eastAsia" w:ascii="宋体" w:hAnsi="宋体" w:eastAsia="宋体" w:cs="宋体"/>
          <w:b/>
          <w:snapToGrid w:val="0"/>
          <w:sz w:val="24"/>
          <w:szCs w:val="28"/>
        </w:rPr>
      </w:pPr>
    </w:p>
    <w:p>
      <w:pPr>
        <w:widowControl/>
        <w:spacing w:line="500" w:lineRule="exact"/>
        <w:ind w:firstLine="560"/>
        <w:jc w:val="center"/>
        <w:rPr>
          <w:rFonts w:hint="eastAsia" w:ascii="宋体" w:hAnsi="宋体" w:eastAsia="宋体" w:cs="宋体"/>
          <w:b/>
          <w:bCs/>
          <w:kern w:val="0"/>
          <w:sz w:val="44"/>
          <w:szCs w:val="44"/>
        </w:rPr>
        <w:sectPr>
          <w:footerReference r:id="rId3" w:type="default"/>
          <w:pgSz w:w="11906" w:h="16838"/>
          <w:pgMar w:top="1440" w:right="1800" w:bottom="1440" w:left="1800" w:header="851" w:footer="992" w:gutter="0"/>
          <w:cols w:space="425" w:num="1"/>
          <w:docGrid w:type="lines" w:linePitch="312" w:charSpace="0"/>
        </w:sectPr>
      </w:pPr>
    </w:p>
    <w:p>
      <w:pPr>
        <w:widowControl/>
        <w:spacing w:line="500" w:lineRule="exact"/>
        <w:ind w:firstLine="560"/>
        <w:jc w:val="center"/>
        <w:rPr>
          <w:rFonts w:hint="eastAsia" w:ascii="宋体" w:hAnsi="宋体" w:eastAsia="宋体" w:cs="宋体"/>
          <w:b/>
          <w:bCs/>
          <w:kern w:val="0"/>
          <w:sz w:val="44"/>
          <w:szCs w:val="44"/>
        </w:rPr>
      </w:pPr>
      <w:r>
        <w:rPr>
          <w:rFonts w:hint="eastAsia" w:ascii="宋体" w:hAnsi="宋体" w:eastAsia="宋体" w:cs="宋体"/>
          <w:b/>
          <w:bCs/>
          <w:kern w:val="0"/>
          <w:sz w:val="44"/>
          <w:szCs w:val="44"/>
        </w:rPr>
        <w:t>目   录</w:t>
      </w:r>
    </w:p>
    <w:p>
      <w:pPr>
        <w:pStyle w:val="11"/>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widowControl/>
        <w:snapToGrid w:val="0"/>
        <w:spacing w:line="480" w:lineRule="auto"/>
        <w:ind w:firstLine="700" w:firstLineChars="250"/>
        <w:jc w:val="left"/>
        <w:rPr>
          <w:rFonts w:hint="eastAsia" w:ascii="宋体" w:hAnsi="宋体" w:eastAsia="宋体" w:cs="宋体"/>
          <w:bCs/>
          <w:kern w:val="0"/>
          <w:sz w:val="28"/>
          <w:szCs w:val="28"/>
        </w:rPr>
      </w:pPr>
      <w:r>
        <w:rPr>
          <w:rFonts w:hint="eastAsia" w:ascii="宋体" w:hAnsi="宋体" w:eastAsia="宋体" w:cs="宋体"/>
          <w:bCs/>
          <w:kern w:val="0"/>
          <w:sz w:val="28"/>
          <w:szCs w:val="28"/>
        </w:rPr>
        <w:t>第一部分  竞争性谈判公告</w:t>
      </w:r>
    </w:p>
    <w:p>
      <w:pPr>
        <w:widowControl/>
        <w:snapToGrid w:val="0"/>
        <w:spacing w:line="480" w:lineRule="auto"/>
        <w:ind w:firstLine="700" w:firstLineChars="250"/>
        <w:jc w:val="left"/>
        <w:rPr>
          <w:rFonts w:hint="eastAsia" w:ascii="宋体" w:hAnsi="宋体" w:eastAsia="宋体" w:cs="宋体"/>
          <w:bCs/>
          <w:kern w:val="0"/>
          <w:sz w:val="28"/>
          <w:szCs w:val="28"/>
        </w:rPr>
      </w:pPr>
      <w:r>
        <w:rPr>
          <w:rFonts w:hint="eastAsia" w:ascii="宋体" w:hAnsi="宋体" w:eastAsia="宋体" w:cs="宋体"/>
          <w:bCs/>
          <w:kern w:val="0"/>
          <w:sz w:val="28"/>
          <w:szCs w:val="28"/>
        </w:rPr>
        <w:t>第二部分  谈判须知</w:t>
      </w:r>
    </w:p>
    <w:p>
      <w:pPr>
        <w:widowControl/>
        <w:snapToGrid w:val="0"/>
        <w:spacing w:line="480" w:lineRule="auto"/>
        <w:ind w:firstLine="700" w:firstLineChars="250"/>
        <w:jc w:val="left"/>
        <w:rPr>
          <w:rFonts w:hint="eastAsia" w:ascii="宋体" w:hAnsi="宋体" w:eastAsia="宋体" w:cs="宋体"/>
          <w:bCs/>
          <w:kern w:val="0"/>
          <w:sz w:val="28"/>
          <w:szCs w:val="28"/>
        </w:rPr>
      </w:pPr>
      <w:r>
        <w:rPr>
          <w:rFonts w:hint="eastAsia" w:ascii="宋体" w:hAnsi="宋体" w:eastAsia="宋体" w:cs="宋体"/>
          <w:bCs/>
          <w:kern w:val="0"/>
          <w:sz w:val="28"/>
          <w:szCs w:val="28"/>
        </w:rPr>
        <w:t>第三部分  项目需求</w:t>
      </w:r>
    </w:p>
    <w:p>
      <w:pPr>
        <w:widowControl/>
        <w:snapToGrid w:val="0"/>
        <w:spacing w:line="480" w:lineRule="auto"/>
        <w:ind w:firstLine="700" w:firstLineChars="250"/>
        <w:jc w:val="left"/>
        <w:rPr>
          <w:rFonts w:hint="eastAsia" w:ascii="宋体" w:hAnsi="宋体" w:eastAsia="宋体" w:cs="宋体"/>
          <w:bCs/>
          <w:kern w:val="0"/>
          <w:sz w:val="28"/>
          <w:szCs w:val="28"/>
        </w:rPr>
      </w:pPr>
      <w:r>
        <w:rPr>
          <w:rFonts w:hint="eastAsia" w:ascii="宋体" w:hAnsi="宋体" w:eastAsia="宋体" w:cs="宋体"/>
          <w:bCs/>
          <w:kern w:val="0"/>
          <w:sz w:val="28"/>
          <w:szCs w:val="28"/>
        </w:rPr>
        <w:t>第四部分  评审方法和评审标准</w:t>
      </w:r>
    </w:p>
    <w:p>
      <w:pPr>
        <w:widowControl/>
        <w:snapToGrid w:val="0"/>
        <w:spacing w:line="480" w:lineRule="auto"/>
        <w:ind w:firstLine="700" w:firstLineChars="250"/>
        <w:jc w:val="left"/>
        <w:rPr>
          <w:rFonts w:hint="eastAsia" w:ascii="宋体" w:hAnsi="宋体" w:eastAsia="宋体" w:cs="宋体"/>
          <w:bCs/>
          <w:kern w:val="0"/>
          <w:sz w:val="28"/>
          <w:szCs w:val="28"/>
        </w:rPr>
      </w:pPr>
      <w:r>
        <w:rPr>
          <w:rFonts w:hint="eastAsia" w:ascii="宋体" w:hAnsi="宋体" w:eastAsia="宋体" w:cs="宋体"/>
          <w:bCs/>
          <w:kern w:val="0"/>
          <w:sz w:val="28"/>
          <w:szCs w:val="28"/>
        </w:rPr>
        <w:t>第五部分  响应文件组成</w:t>
      </w:r>
    </w:p>
    <w:p>
      <w:pPr>
        <w:widowControl/>
        <w:jc w:val="left"/>
        <w:rPr>
          <w:rFonts w:hint="eastAsia" w:ascii="宋体" w:hAnsi="宋体" w:eastAsia="宋体" w:cs="宋体"/>
          <w:b/>
          <w:kern w:val="0"/>
          <w:sz w:val="28"/>
          <w:szCs w:val="28"/>
        </w:rPr>
      </w:pPr>
      <w:r>
        <w:rPr>
          <w:rFonts w:hint="eastAsia" w:ascii="宋体" w:hAnsi="宋体" w:eastAsia="宋体" w:cs="宋体"/>
          <w:b/>
          <w:kern w:val="0"/>
          <w:sz w:val="28"/>
          <w:szCs w:val="28"/>
        </w:rPr>
        <w:br w:type="page"/>
      </w:r>
    </w:p>
    <w:p>
      <w:pPr>
        <w:widowControl/>
        <w:spacing w:line="500" w:lineRule="exact"/>
        <w:jc w:val="center"/>
        <w:rPr>
          <w:rFonts w:hint="eastAsia" w:ascii="宋体" w:hAnsi="宋体" w:eastAsia="宋体" w:cs="宋体"/>
          <w:b/>
          <w:kern w:val="0"/>
          <w:sz w:val="28"/>
          <w:szCs w:val="28"/>
        </w:rPr>
      </w:pPr>
      <w:r>
        <w:rPr>
          <w:rFonts w:hint="eastAsia" w:ascii="宋体" w:hAnsi="宋体" w:eastAsia="宋体" w:cs="宋体"/>
          <w:b/>
          <w:kern w:val="0"/>
          <w:sz w:val="28"/>
          <w:szCs w:val="28"/>
        </w:rPr>
        <w:t>第一部分  竞争性谈判公告</w:t>
      </w:r>
    </w:p>
    <w:p>
      <w:pPr>
        <w:keepNext w:val="0"/>
        <w:keepLines w:val="0"/>
        <w:pageBreakBefore w:val="0"/>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启东市党风廉政建设教育中心就启东市党风廉政建设教育中心电梯维保项目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第二次</w:t>
      </w:r>
      <w:r>
        <w:rPr>
          <w:rFonts w:hint="eastAsia" w:ascii="宋体" w:hAnsi="宋体" w:eastAsia="宋体" w:cs="宋体"/>
          <w:sz w:val="24"/>
          <w:szCs w:val="24"/>
          <w:lang w:eastAsia="zh-CN"/>
        </w:rPr>
        <w:t>）</w:t>
      </w:r>
      <w:r>
        <w:rPr>
          <w:rFonts w:hint="eastAsia" w:ascii="宋体" w:hAnsi="宋体" w:eastAsia="宋体" w:cs="宋体"/>
          <w:sz w:val="24"/>
          <w:szCs w:val="24"/>
        </w:rPr>
        <w:t>进行竞争性谈判采购，欢迎符合条件的供应商参加谈判。</w:t>
      </w:r>
    </w:p>
    <w:p>
      <w:pPr>
        <w:keepNext w:val="0"/>
        <w:keepLines w:val="0"/>
        <w:pageBreakBefore w:val="0"/>
        <w:kinsoku/>
        <w:wordWrap/>
        <w:overflowPunct/>
        <w:topLinePunct w:val="0"/>
        <w:autoSpaceDE/>
        <w:autoSpaceDN/>
        <w:bidi w:val="0"/>
        <w:adjustRightInd/>
        <w:snapToGrid w:val="0"/>
        <w:spacing w:line="440" w:lineRule="exact"/>
        <w:ind w:left="0" w:leftChars="0" w:firstLine="482" w:firstLineChars="200"/>
        <w:textAlignment w:val="auto"/>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一、项目基本情况</w:t>
      </w:r>
    </w:p>
    <w:p>
      <w:pPr>
        <w:keepNext w:val="0"/>
        <w:keepLines w:val="0"/>
        <w:pageBreakBefore w:val="0"/>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bCs w:val="0"/>
          <w:sz w:val="24"/>
          <w:szCs w:val="24"/>
          <w:shd w:val="clear"/>
          <w:lang w:eastAsia="zh-CN"/>
        </w:rPr>
      </w:pPr>
      <w:r>
        <w:rPr>
          <w:rFonts w:hint="eastAsia" w:ascii="宋体" w:hAnsi="宋体" w:eastAsia="宋体" w:cs="宋体"/>
          <w:bCs w:val="0"/>
          <w:sz w:val="24"/>
          <w:szCs w:val="24"/>
          <w:shd w:val="clear"/>
        </w:rPr>
        <w:t>项目名称：</w:t>
      </w:r>
      <w:r>
        <w:rPr>
          <w:rFonts w:hint="eastAsia" w:ascii="宋体" w:hAnsi="宋体" w:eastAsia="宋体" w:cs="宋体"/>
          <w:sz w:val="24"/>
          <w:szCs w:val="24"/>
        </w:rPr>
        <w:t>启东市党风廉政建设教育中心电梯维保项目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第二次</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bCs/>
          <w:sz w:val="24"/>
          <w:szCs w:val="24"/>
          <w:shd w:val="clear" w:color="auto" w:fill="FFFFFF"/>
        </w:rPr>
      </w:pPr>
      <w:r>
        <w:rPr>
          <w:rFonts w:hint="eastAsia" w:ascii="宋体" w:hAnsi="宋体" w:eastAsia="宋体" w:cs="宋体"/>
          <w:bCs/>
          <w:sz w:val="24"/>
          <w:szCs w:val="24"/>
          <w:shd w:val="clear" w:color="auto" w:fill="FFFFFF"/>
        </w:rPr>
        <w:t>项目类型：服务</w:t>
      </w:r>
    </w:p>
    <w:p>
      <w:pPr>
        <w:keepNext w:val="0"/>
        <w:keepLines w:val="0"/>
        <w:pageBreakBefore w:val="0"/>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bCs/>
          <w:sz w:val="24"/>
          <w:szCs w:val="24"/>
          <w:shd w:val="clear" w:color="auto" w:fill="FFFFFF"/>
        </w:rPr>
      </w:pPr>
      <w:r>
        <w:rPr>
          <w:rFonts w:hint="eastAsia" w:ascii="宋体" w:hAnsi="宋体" w:eastAsia="宋体" w:cs="宋体"/>
          <w:bCs/>
          <w:sz w:val="24"/>
          <w:szCs w:val="24"/>
          <w:shd w:val="clear" w:color="auto" w:fill="FFFFFF"/>
        </w:rPr>
        <w:t>最高限价：</w:t>
      </w:r>
      <w:r>
        <w:rPr>
          <w:rFonts w:hint="eastAsia" w:ascii="宋体" w:hAnsi="宋体" w:eastAsia="宋体" w:cs="宋体"/>
          <w:bCs/>
          <w:sz w:val="24"/>
          <w:szCs w:val="24"/>
          <w:shd w:val="clear" w:color="auto" w:fill="FFFFFF"/>
          <w:lang w:val="en-US" w:eastAsia="zh-CN"/>
        </w:rPr>
        <w:t>人民币18000元/年，供应商所报投标报价大于最高限价的视为无效报价。</w:t>
      </w:r>
    </w:p>
    <w:p>
      <w:pPr>
        <w:keepNext w:val="0"/>
        <w:keepLines w:val="0"/>
        <w:pageBreakBefore w:val="0"/>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bCs/>
          <w:sz w:val="24"/>
          <w:szCs w:val="24"/>
          <w:shd w:val="clear" w:color="auto" w:fill="FFFFFF"/>
        </w:rPr>
      </w:pPr>
      <w:r>
        <w:rPr>
          <w:rFonts w:hint="eastAsia" w:ascii="宋体" w:hAnsi="宋体" w:eastAsia="宋体" w:cs="宋体"/>
          <w:bCs/>
          <w:sz w:val="24"/>
          <w:szCs w:val="24"/>
          <w:shd w:val="clear" w:color="auto" w:fill="FFFFFF"/>
        </w:rPr>
        <w:t>采购需求：详见谈判文件。</w:t>
      </w:r>
    </w:p>
    <w:p>
      <w:pPr>
        <w:keepNext w:val="0"/>
        <w:keepLines w:val="0"/>
        <w:pageBreakBefore w:val="0"/>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bCs/>
          <w:sz w:val="24"/>
          <w:szCs w:val="24"/>
          <w:shd w:val="clear" w:color="auto" w:fill="FFFFFF"/>
        </w:rPr>
      </w:pPr>
      <w:r>
        <w:rPr>
          <w:rFonts w:hint="eastAsia" w:ascii="宋体" w:hAnsi="宋体" w:eastAsia="宋体" w:cs="宋体"/>
          <w:bCs/>
          <w:sz w:val="24"/>
          <w:szCs w:val="24"/>
          <w:shd w:val="clear" w:color="auto" w:fill="FFFFFF"/>
        </w:rPr>
        <w:t>合同履行期限：详见谈判文件第三部分。</w:t>
      </w:r>
    </w:p>
    <w:p>
      <w:pPr>
        <w:keepNext w:val="0"/>
        <w:keepLines w:val="0"/>
        <w:pageBreakBefore w:val="0"/>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bCs/>
          <w:sz w:val="24"/>
          <w:szCs w:val="24"/>
          <w:shd w:val="clear" w:color="auto" w:fill="FFFFFF"/>
        </w:rPr>
      </w:pPr>
      <w:r>
        <w:rPr>
          <w:rFonts w:hint="eastAsia" w:ascii="宋体" w:hAnsi="宋体" w:eastAsia="宋体" w:cs="宋体"/>
          <w:bCs/>
          <w:sz w:val="24"/>
          <w:szCs w:val="24"/>
          <w:shd w:val="clear" w:color="auto" w:fill="FFFFFF"/>
        </w:rPr>
        <w:t>本项目是否接受联合体投标：否。</w:t>
      </w:r>
    </w:p>
    <w:p>
      <w:pPr>
        <w:keepNext w:val="0"/>
        <w:keepLines w:val="0"/>
        <w:pageBreakBefore w:val="0"/>
        <w:kinsoku/>
        <w:wordWrap/>
        <w:overflowPunct/>
        <w:topLinePunct w:val="0"/>
        <w:autoSpaceDE/>
        <w:autoSpaceDN/>
        <w:bidi w:val="0"/>
        <w:adjustRightInd/>
        <w:snapToGrid w:val="0"/>
        <w:spacing w:line="440" w:lineRule="exact"/>
        <w:ind w:left="0" w:leftChars="0" w:firstLine="482" w:firstLineChars="200"/>
        <w:textAlignment w:val="auto"/>
        <w:rPr>
          <w:rFonts w:hint="eastAsia" w:ascii="宋体" w:hAnsi="宋体" w:eastAsia="宋体" w:cs="宋体"/>
          <w:b/>
          <w:sz w:val="24"/>
          <w:szCs w:val="24"/>
          <w:shd w:val="clear" w:color="auto" w:fill="FFFFFF"/>
        </w:rPr>
      </w:pPr>
      <w:r>
        <w:rPr>
          <w:rFonts w:hint="eastAsia" w:ascii="宋体" w:hAnsi="宋体" w:eastAsia="宋体" w:cs="宋体"/>
          <w:b/>
          <w:sz w:val="24"/>
          <w:szCs w:val="24"/>
          <w:shd w:val="clear" w:color="auto" w:fill="FFFFFF"/>
        </w:rPr>
        <w:t>二、供应商的资格要求</w:t>
      </w:r>
    </w:p>
    <w:p>
      <w:pPr>
        <w:keepNext w:val="0"/>
        <w:keepLines w:val="0"/>
        <w:pageBreakBefore w:val="0"/>
        <w:kinsoku/>
        <w:wordWrap/>
        <w:overflowPunct/>
        <w:topLinePunct w:val="0"/>
        <w:autoSpaceDE/>
        <w:autoSpaceDN/>
        <w:bidi w:val="0"/>
        <w:adjustRightInd/>
        <w:snapToGrid w:val="0"/>
        <w:spacing w:line="440" w:lineRule="exact"/>
        <w:ind w:left="0" w:leftChars="0" w:firstLine="480" w:firstLineChars="200"/>
        <w:jc w:val="left"/>
        <w:textAlignment w:val="auto"/>
        <w:rPr>
          <w:rFonts w:hint="eastAsia" w:ascii="宋体" w:hAnsi="宋体" w:eastAsia="宋体" w:cs="宋体"/>
          <w:bCs/>
          <w:sz w:val="24"/>
          <w:szCs w:val="24"/>
          <w:shd w:val="clear" w:color="auto" w:fill="FFFFFF"/>
          <w:lang w:eastAsia="zh-CN"/>
        </w:rPr>
      </w:pPr>
      <w:r>
        <w:rPr>
          <w:rFonts w:hint="eastAsia" w:ascii="宋体" w:hAnsi="宋体" w:eastAsia="宋体" w:cs="宋体"/>
          <w:bCs/>
          <w:sz w:val="24"/>
          <w:szCs w:val="24"/>
          <w:shd w:val="clear" w:color="auto" w:fill="FFFFFF"/>
        </w:rPr>
        <w:t>1</w:t>
      </w:r>
      <w:r>
        <w:rPr>
          <w:rFonts w:hint="eastAsia" w:ascii="宋体" w:hAnsi="宋体" w:eastAsia="宋体" w:cs="宋体"/>
          <w:bCs/>
          <w:sz w:val="24"/>
          <w:szCs w:val="24"/>
          <w:shd w:val="clear" w:color="auto" w:fill="FFFFFF"/>
          <w:lang w:val="en-US" w:eastAsia="zh-CN"/>
        </w:rPr>
        <w:t>.</w:t>
      </w:r>
      <w:r>
        <w:rPr>
          <w:rFonts w:hint="eastAsia" w:ascii="宋体" w:hAnsi="宋体" w:eastAsia="宋体" w:cs="宋体"/>
          <w:bCs/>
          <w:sz w:val="24"/>
          <w:szCs w:val="24"/>
          <w:shd w:val="clear" w:color="auto" w:fill="FFFFFF"/>
        </w:rPr>
        <w:t>符合《中华人民共和国政府采购法》第二十二条的规定</w:t>
      </w:r>
      <w:r>
        <w:rPr>
          <w:rFonts w:hint="eastAsia" w:ascii="宋体" w:hAnsi="宋体" w:eastAsia="宋体" w:cs="宋体"/>
          <w:bCs/>
          <w:sz w:val="24"/>
          <w:szCs w:val="24"/>
          <w:shd w:val="clear" w:color="auto" w:fill="FFFFFF"/>
          <w:lang w:eastAsia="zh-CN"/>
        </w:rPr>
        <w:t>；</w:t>
      </w:r>
    </w:p>
    <w:p>
      <w:pPr>
        <w:keepNext w:val="0"/>
        <w:keepLines w:val="0"/>
        <w:pageBreakBefore w:val="0"/>
        <w:kinsoku/>
        <w:wordWrap/>
        <w:overflowPunct/>
        <w:topLinePunct w:val="0"/>
        <w:autoSpaceDE/>
        <w:autoSpaceDN/>
        <w:bidi w:val="0"/>
        <w:adjustRightInd/>
        <w:snapToGrid w:val="0"/>
        <w:spacing w:line="440" w:lineRule="exact"/>
        <w:ind w:left="0" w:leftChars="0" w:firstLine="480" w:firstLineChars="200"/>
        <w:jc w:val="left"/>
        <w:textAlignment w:val="auto"/>
        <w:rPr>
          <w:rFonts w:hint="eastAsia" w:ascii="宋体" w:hAnsi="宋体" w:eastAsia="宋体" w:cs="宋体"/>
          <w:bCs/>
          <w:sz w:val="24"/>
          <w:szCs w:val="24"/>
          <w:shd w:val="clear" w:color="auto" w:fill="FFFFFF"/>
          <w:lang w:eastAsia="zh-CN"/>
        </w:rPr>
      </w:pPr>
      <w:r>
        <w:rPr>
          <w:rFonts w:hint="eastAsia" w:ascii="宋体" w:hAnsi="宋体" w:eastAsia="宋体" w:cs="宋体"/>
          <w:bCs/>
          <w:sz w:val="24"/>
          <w:szCs w:val="24"/>
          <w:shd w:val="clear" w:color="auto" w:fill="FFFFFF"/>
          <w:lang w:val="en-US" w:eastAsia="zh-CN"/>
        </w:rPr>
        <w:t>2.</w:t>
      </w:r>
      <w:r>
        <w:rPr>
          <w:rFonts w:hint="eastAsia" w:ascii="宋体" w:hAnsi="宋体" w:eastAsia="宋体" w:cs="宋体"/>
          <w:bCs/>
          <w:sz w:val="24"/>
          <w:szCs w:val="24"/>
          <w:shd w:val="clear" w:color="auto" w:fill="FFFFFF"/>
          <w:lang w:eastAsia="zh-CN"/>
        </w:rPr>
        <w:t>投标</w:t>
      </w:r>
      <w:r>
        <w:rPr>
          <w:rFonts w:hint="eastAsia" w:ascii="宋体" w:hAnsi="宋体" w:eastAsia="宋体" w:cs="宋体"/>
          <w:sz w:val="24"/>
          <w:szCs w:val="24"/>
        </w:rPr>
        <w:t>供应</w:t>
      </w:r>
      <w:r>
        <w:rPr>
          <w:rFonts w:hint="eastAsia" w:ascii="宋体" w:hAnsi="宋体" w:eastAsia="宋体" w:cs="宋体"/>
          <w:sz w:val="24"/>
          <w:szCs w:val="24"/>
          <w:highlight w:val="none"/>
        </w:rPr>
        <w:t>商</w:t>
      </w:r>
      <w:r>
        <w:rPr>
          <w:rFonts w:hint="eastAsia" w:ascii="宋体" w:hAnsi="宋体" w:eastAsia="宋体" w:cs="宋体"/>
          <w:bCs/>
          <w:sz w:val="24"/>
          <w:szCs w:val="24"/>
          <w:shd w:val="clear" w:color="auto" w:fill="FFFFFF"/>
          <w:lang w:eastAsia="zh-CN"/>
        </w:rPr>
        <w:t>具有合法有效的营业执照；</w:t>
      </w:r>
    </w:p>
    <w:p>
      <w:pPr>
        <w:keepNext w:val="0"/>
        <w:keepLines w:val="0"/>
        <w:pageBreakBefore w:val="0"/>
        <w:kinsoku/>
        <w:wordWrap/>
        <w:overflowPunct/>
        <w:topLinePunct w:val="0"/>
        <w:autoSpaceDE/>
        <w:autoSpaceDN/>
        <w:bidi w:val="0"/>
        <w:adjustRightInd/>
        <w:snapToGrid w:val="0"/>
        <w:spacing w:line="440" w:lineRule="exact"/>
        <w:ind w:left="0" w:leftChars="0" w:firstLine="480" w:firstLineChars="200"/>
        <w:jc w:val="left"/>
        <w:textAlignment w:val="auto"/>
        <w:rPr>
          <w:rFonts w:hint="eastAsia" w:ascii="宋体" w:hAnsi="宋体" w:eastAsia="宋体" w:cs="宋体"/>
          <w:bCs/>
          <w:sz w:val="24"/>
          <w:szCs w:val="24"/>
          <w:highlight w:val="none"/>
          <w:shd w:val="clear" w:color="auto" w:fill="FFFFFF"/>
          <w:lang w:val="en-US" w:eastAsia="zh-CN"/>
        </w:rPr>
      </w:pPr>
      <w:r>
        <w:rPr>
          <w:rFonts w:hint="eastAsia" w:ascii="宋体" w:hAnsi="宋体" w:eastAsia="宋体" w:cs="宋体"/>
          <w:bCs/>
          <w:sz w:val="24"/>
          <w:szCs w:val="24"/>
          <w:shd w:val="clear" w:color="auto" w:fill="FFFFFF"/>
          <w:lang w:val="en-US" w:eastAsia="zh-CN"/>
        </w:rPr>
        <w:t>3.</w:t>
      </w:r>
      <w:r>
        <w:rPr>
          <w:rFonts w:hint="eastAsia" w:ascii="宋体" w:hAnsi="宋体" w:eastAsia="宋体" w:cs="宋体"/>
          <w:sz w:val="24"/>
          <w:szCs w:val="24"/>
        </w:rPr>
        <w:t>对于参加报价的供应</w:t>
      </w:r>
      <w:r>
        <w:rPr>
          <w:rFonts w:hint="eastAsia" w:ascii="宋体" w:hAnsi="宋体" w:eastAsia="宋体" w:cs="宋体"/>
          <w:sz w:val="24"/>
          <w:szCs w:val="24"/>
          <w:highlight w:val="none"/>
        </w:rPr>
        <w:t>商，具有中华人民共和国特种设备生产许可证（电梯安装含维修）；</w:t>
      </w:r>
    </w:p>
    <w:p>
      <w:pPr>
        <w:keepNext w:val="0"/>
        <w:keepLines w:val="0"/>
        <w:pageBreakBefore w:val="0"/>
        <w:kinsoku/>
        <w:wordWrap/>
        <w:overflowPunct/>
        <w:topLinePunct w:val="0"/>
        <w:autoSpaceDE/>
        <w:autoSpaceDN/>
        <w:bidi w:val="0"/>
        <w:adjustRightInd/>
        <w:snapToGrid w:val="0"/>
        <w:spacing w:line="440" w:lineRule="exact"/>
        <w:ind w:left="0" w:leftChars="0"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bCs/>
          <w:sz w:val="24"/>
          <w:szCs w:val="24"/>
          <w:highlight w:val="none"/>
          <w:shd w:val="clear" w:color="auto" w:fill="FFFFFF"/>
          <w:lang w:val="en-US" w:eastAsia="zh-CN"/>
        </w:rPr>
        <w:t>4.</w:t>
      </w:r>
      <w:r>
        <w:rPr>
          <w:rFonts w:hint="eastAsia" w:ascii="宋体" w:hAnsi="宋体" w:eastAsia="宋体" w:cs="宋体"/>
          <w:bCs/>
          <w:sz w:val="24"/>
          <w:szCs w:val="24"/>
          <w:highlight w:val="none"/>
          <w:shd w:val="clear" w:color="auto" w:fill="FFFFFF"/>
        </w:rPr>
        <w:t>本项目招标不接受联合体投标。</w:t>
      </w:r>
    </w:p>
    <w:p>
      <w:pPr>
        <w:keepNext w:val="0"/>
        <w:keepLines w:val="0"/>
        <w:pageBreakBefore w:val="0"/>
        <w:widowControl/>
        <w:kinsoku/>
        <w:wordWrap/>
        <w:overflowPunct/>
        <w:topLinePunct w:val="0"/>
        <w:autoSpaceDE/>
        <w:autoSpaceDN/>
        <w:bidi w:val="0"/>
        <w:adjustRightInd/>
        <w:snapToGrid w:val="0"/>
        <w:spacing w:line="440" w:lineRule="exact"/>
        <w:ind w:left="0" w:leftChars="0" w:firstLine="480" w:firstLineChars="200"/>
        <w:jc w:val="left"/>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rPr>
        <w:t>5</w:t>
      </w:r>
      <w:r>
        <w:rPr>
          <w:rFonts w:hint="eastAsia" w:ascii="宋体" w:hAnsi="宋体" w:eastAsia="宋体" w:cs="宋体"/>
          <w:bCs/>
          <w:kern w:val="0"/>
          <w:sz w:val="24"/>
          <w:szCs w:val="24"/>
          <w:highlight w:val="none"/>
        </w:rPr>
        <w:t>.禁止情形：</w:t>
      </w:r>
    </w:p>
    <w:p>
      <w:pPr>
        <w:keepNext w:val="0"/>
        <w:keepLines w:val="0"/>
        <w:pageBreakBefore w:val="0"/>
        <w:widowControl/>
        <w:kinsoku/>
        <w:wordWrap/>
        <w:overflowPunct/>
        <w:topLinePunct w:val="0"/>
        <w:autoSpaceDE/>
        <w:autoSpaceDN/>
        <w:bidi w:val="0"/>
        <w:adjustRightInd/>
        <w:snapToGrid w:val="0"/>
        <w:spacing w:line="440" w:lineRule="exact"/>
        <w:ind w:left="0" w:leftChars="0"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拒绝以下供应商参与投标：</w:t>
      </w:r>
    </w:p>
    <w:p>
      <w:pPr>
        <w:keepNext w:val="0"/>
        <w:keepLines w:val="0"/>
        <w:pageBreakBefore w:val="0"/>
        <w:widowControl/>
        <w:kinsoku/>
        <w:wordWrap/>
        <w:overflowPunct/>
        <w:topLinePunct w:val="0"/>
        <w:autoSpaceDE/>
        <w:autoSpaceDN/>
        <w:bidi w:val="0"/>
        <w:adjustRightInd/>
        <w:snapToGrid w:val="0"/>
        <w:spacing w:line="440" w:lineRule="exact"/>
        <w:ind w:left="0" w:leftChars="0"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①单位负责人为同一人或者存在直接控股、管理关系的不同供应商，不得参加同一合同项下的政府采购活动。</w:t>
      </w:r>
    </w:p>
    <w:p>
      <w:pPr>
        <w:keepNext w:val="0"/>
        <w:keepLines w:val="0"/>
        <w:pageBreakBefore w:val="0"/>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②为采购项目提供整体设计、规范编制或者项目管理、监理等服务的供应商，不得再参加本采购项目的其他采购活动。</w:t>
      </w:r>
    </w:p>
    <w:p>
      <w:pPr>
        <w:keepNext w:val="0"/>
        <w:keepLines w:val="0"/>
        <w:pageBreakBefore w:val="0"/>
        <w:widowControl/>
        <w:kinsoku/>
        <w:wordWrap/>
        <w:overflowPunct/>
        <w:topLinePunct w:val="0"/>
        <w:autoSpaceDE/>
        <w:autoSpaceDN/>
        <w:bidi w:val="0"/>
        <w:adjustRightInd/>
        <w:snapToGrid w:val="0"/>
        <w:spacing w:line="440" w:lineRule="exact"/>
        <w:ind w:left="0" w:leftChars="0" w:firstLine="482" w:firstLineChars="200"/>
        <w:jc w:val="left"/>
        <w:textAlignment w:val="auto"/>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三、获取</w:t>
      </w:r>
      <w:r>
        <w:rPr>
          <w:rFonts w:hint="eastAsia" w:ascii="宋体" w:hAnsi="宋体" w:eastAsia="宋体" w:cs="宋体"/>
          <w:b/>
          <w:kern w:val="0"/>
          <w:sz w:val="24"/>
          <w:szCs w:val="24"/>
          <w:highlight w:val="none"/>
          <w:lang w:val="en-US" w:eastAsia="zh-CN"/>
        </w:rPr>
        <w:t>谈判</w:t>
      </w:r>
      <w:r>
        <w:rPr>
          <w:rFonts w:hint="eastAsia" w:ascii="宋体" w:hAnsi="宋体" w:eastAsia="宋体" w:cs="宋体"/>
          <w:b/>
          <w:kern w:val="0"/>
          <w:sz w:val="24"/>
          <w:szCs w:val="24"/>
          <w:highlight w:val="none"/>
        </w:rPr>
        <w:t>文件</w:t>
      </w:r>
    </w:p>
    <w:p>
      <w:pPr>
        <w:keepNext w:val="0"/>
        <w:keepLines w:val="0"/>
        <w:pageBreakBefore w:val="0"/>
        <w:widowControl/>
        <w:kinsoku/>
        <w:wordWrap/>
        <w:overflowPunct/>
        <w:topLinePunct w:val="0"/>
        <w:autoSpaceDE/>
        <w:autoSpaceDN/>
        <w:bidi w:val="0"/>
        <w:adjustRightInd/>
        <w:snapToGrid w:val="0"/>
        <w:spacing w:line="440" w:lineRule="exact"/>
        <w:ind w:left="0" w:leftChars="0"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时间：202</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lang w:val="en-US" w:eastAsia="zh-CN"/>
        </w:rPr>
        <w:t>25</w:t>
      </w:r>
      <w:r>
        <w:rPr>
          <w:rFonts w:hint="eastAsia" w:ascii="宋体" w:hAnsi="宋体" w:eastAsia="宋体" w:cs="宋体"/>
          <w:kern w:val="0"/>
          <w:sz w:val="24"/>
          <w:szCs w:val="24"/>
          <w:highlight w:val="none"/>
        </w:rPr>
        <w:t>日至202</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lang w:val="en-US" w:eastAsia="zh-CN"/>
        </w:rPr>
        <w:t>30</w:t>
      </w:r>
      <w:r>
        <w:rPr>
          <w:rFonts w:hint="eastAsia" w:ascii="宋体" w:hAnsi="宋体" w:eastAsia="宋体" w:cs="宋体"/>
          <w:kern w:val="0"/>
          <w:sz w:val="24"/>
          <w:szCs w:val="24"/>
          <w:highlight w:val="none"/>
        </w:rPr>
        <w:t>日</w:t>
      </w:r>
    </w:p>
    <w:p>
      <w:pPr>
        <w:keepNext w:val="0"/>
        <w:keepLines w:val="0"/>
        <w:pageBreakBefore w:val="0"/>
        <w:widowControl/>
        <w:kinsoku/>
        <w:wordWrap/>
        <w:overflowPunct/>
        <w:topLinePunct w:val="0"/>
        <w:autoSpaceDE/>
        <w:autoSpaceDN/>
        <w:bidi w:val="0"/>
        <w:adjustRightInd/>
        <w:snapToGrid w:val="0"/>
        <w:spacing w:line="440" w:lineRule="exact"/>
        <w:ind w:left="0" w:leftChars="0" w:firstLine="480" w:firstLineChars="200"/>
        <w:jc w:val="left"/>
        <w:textAlignment w:val="auto"/>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地点：</w:t>
      </w:r>
      <w:r>
        <w:rPr>
          <w:rFonts w:hint="eastAsia" w:ascii="宋体" w:hAnsi="宋体" w:eastAsia="宋体" w:cs="宋体"/>
          <w:sz w:val="24"/>
          <w:szCs w:val="24"/>
          <w:lang w:val="en-US" w:eastAsia="zh-CN"/>
        </w:rPr>
        <w:t>启东廉政网</w:t>
      </w:r>
    </w:p>
    <w:p>
      <w:pPr>
        <w:keepNext w:val="0"/>
        <w:keepLines w:val="0"/>
        <w:pageBreakBefore w:val="0"/>
        <w:widowControl/>
        <w:kinsoku/>
        <w:wordWrap/>
        <w:overflowPunct/>
        <w:topLinePunct w:val="0"/>
        <w:autoSpaceDE/>
        <w:autoSpaceDN/>
        <w:bidi w:val="0"/>
        <w:adjustRightInd/>
        <w:snapToGrid w:val="0"/>
        <w:spacing w:line="440" w:lineRule="exact"/>
        <w:ind w:left="0" w:leftChars="0"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方式：供应商登录</w:t>
      </w:r>
      <w:r>
        <w:rPr>
          <w:rFonts w:hint="eastAsia" w:ascii="宋体" w:hAnsi="宋体" w:eastAsia="宋体" w:cs="宋体"/>
          <w:sz w:val="24"/>
          <w:szCs w:val="24"/>
          <w:lang w:val="en-US" w:eastAsia="zh-CN"/>
        </w:rPr>
        <w:t>启东廉政网</w:t>
      </w:r>
      <w:r>
        <w:rPr>
          <w:rFonts w:hint="eastAsia" w:ascii="宋体" w:hAnsi="宋体" w:eastAsia="宋体" w:cs="宋体"/>
          <w:kern w:val="0"/>
          <w:sz w:val="24"/>
          <w:szCs w:val="24"/>
          <w:highlight w:val="none"/>
        </w:rPr>
        <w:t>，进行下载操作。</w:t>
      </w:r>
    </w:p>
    <w:p>
      <w:pPr>
        <w:keepNext w:val="0"/>
        <w:keepLines w:val="0"/>
        <w:pageBreakBefore w:val="0"/>
        <w:widowControl/>
        <w:kinsoku/>
        <w:wordWrap/>
        <w:overflowPunct/>
        <w:topLinePunct w:val="0"/>
        <w:autoSpaceDE/>
        <w:autoSpaceDN/>
        <w:bidi w:val="0"/>
        <w:adjustRightInd/>
        <w:snapToGrid w:val="0"/>
        <w:spacing w:line="440" w:lineRule="exact"/>
        <w:ind w:left="0" w:leftChars="0" w:firstLine="482" w:firstLineChars="200"/>
        <w:jc w:val="left"/>
        <w:textAlignment w:val="auto"/>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四、递交响应文件截止时间、开标（谈判）时间和地点：</w:t>
      </w:r>
    </w:p>
    <w:p>
      <w:pPr>
        <w:keepNext w:val="0"/>
        <w:keepLines w:val="0"/>
        <w:pageBreakBefore w:val="0"/>
        <w:widowControl/>
        <w:kinsoku/>
        <w:wordWrap/>
        <w:overflowPunct/>
        <w:topLinePunct w:val="0"/>
        <w:autoSpaceDE/>
        <w:autoSpaceDN/>
        <w:bidi w:val="0"/>
        <w:adjustRightInd/>
        <w:snapToGrid w:val="0"/>
        <w:spacing w:line="440" w:lineRule="exact"/>
        <w:ind w:left="0" w:leftChars="0"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投标时间：202</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lang w:val="en-US" w:eastAsia="zh-CN"/>
        </w:rPr>
        <w:t>30</w:t>
      </w:r>
      <w:r>
        <w:rPr>
          <w:rFonts w:hint="eastAsia" w:ascii="宋体" w:hAnsi="宋体" w:eastAsia="宋体" w:cs="宋体"/>
          <w:kern w:val="0"/>
          <w:sz w:val="24"/>
          <w:szCs w:val="24"/>
          <w:highlight w:val="none"/>
        </w:rPr>
        <w:t>日</w:t>
      </w:r>
      <w:r>
        <w:rPr>
          <w:rFonts w:hint="eastAsia" w:ascii="宋体" w:hAnsi="宋体" w:eastAsia="宋体" w:cs="宋体"/>
          <w:kern w:val="0"/>
          <w:sz w:val="24"/>
          <w:szCs w:val="24"/>
          <w:highlight w:val="none"/>
          <w:lang w:val="en-US" w:eastAsia="zh-CN"/>
        </w:rPr>
        <w:t>09</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0</w:t>
      </w:r>
      <w:r>
        <w:rPr>
          <w:rFonts w:hint="eastAsia" w:ascii="宋体" w:hAnsi="宋体" w:eastAsia="宋体" w:cs="宋体"/>
          <w:kern w:val="0"/>
          <w:sz w:val="24"/>
          <w:szCs w:val="24"/>
          <w:highlight w:val="none"/>
        </w:rPr>
        <w:t>0-</w:t>
      </w:r>
      <w:r>
        <w:rPr>
          <w:rFonts w:hint="eastAsia" w:ascii="宋体" w:hAnsi="宋体" w:eastAsia="宋体" w:cs="宋体"/>
          <w:kern w:val="0"/>
          <w:sz w:val="24"/>
          <w:szCs w:val="24"/>
          <w:highlight w:val="none"/>
          <w:lang w:val="en-US" w:eastAsia="zh-CN"/>
        </w:rPr>
        <w:t>09</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0 （北京时间）</w:t>
      </w:r>
    </w:p>
    <w:p>
      <w:pPr>
        <w:keepNext w:val="0"/>
        <w:keepLines w:val="0"/>
        <w:pageBreakBefore w:val="0"/>
        <w:widowControl/>
        <w:kinsoku/>
        <w:wordWrap/>
        <w:overflowPunct/>
        <w:topLinePunct w:val="0"/>
        <w:autoSpaceDE/>
        <w:autoSpaceDN/>
        <w:bidi w:val="0"/>
        <w:adjustRightInd/>
        <w:snapToGrid w:val="0"/>
        <w:spacing w:line="440" w:lineRule="exact"/>
        <w:ind w:left="0" w:leftChars="0"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投标</w:t>
      </w:r>
      <w:r>
        <w:rPr>
          <w:rFonts w:hint="eastAsia" w:ascii="宋体" w:hAnsi="宋体" w:eastAsia="宋体" w:cs="宋体"/>
          <w:kern w:val="0"/>
          <w:sz w:val="24"/>
          <w:szCs w:val="24"/>
          <w:highlight w:val="none"/>
        </w:rPr>
        <w:t>截止时间</w:t>
      </w:r>
      <w:r>
        <w:rPr>
          <w:rFonts w:hint="eastAsia" w:ascii="宋体" w:hAnsi="宋体" w:eastAsia="宋体" w:cs="宋体"/>
          <w:kern w:val="0"/>
          <w:sz w:val="24"/>
          <w:szCs w:val="24"/>
          <w:highlight w:val="none"/>
          <w:lang w:val="en-US" w:eastAsia="zh-CN"/>
        </w:rPr>
        <w:t>及</w:t>
      </w:r>
      <w:r>
        <w:rPr>
          <w:rFonts w:hint="eastAsia" w:ascii="宋体" w:hAnsi="宋体" w:eastAsia="宋体" w:cs="宋体"/>
          <w:kern w:val="0"/>
          <w:sz w:val="24"/>
          <w:szCs w:val="24"/>
          <w:highlight w:val="none"/>
        </w:rPr>
        <w:t>开标（谈判）时间：202</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lang w:val="en-US" w:eastAsia="zh-CN"/>
        </w:rPr>
        <w:t>30</w:t>
      </w:r>
      <w:r>
        <w:rPr>
          <w:rFonts w:hint="eastAsia" w:ascii="宋体" w:hAnsi="宋体" w:eastAsia="宋体" w:cs="宋体"/>
          <w:kern w:val="0"/>
          <w:sz w:val="24"/>
          <w:szCs w:val="24"/>
          <w:highlight w:val="none"/>
        </w:rPr>
        <w:t>日</w:t>
      </w:r>
      <w:r>
        <w:rPr>
          <w:rFonts w:hint="eastAsia" w:ascii="宋体" w:hAnsi="宋体" w:eastAsia="宋体" w:cs="宋体"/>
          <w:kern w:val="0"/>
          <w:sz w:val="24"/>
          <w:szCs w:val="24"/>
          <w:highlight w:val="none"/>
          <w:lang w:val="en-US" w:eastAsia="zh-CN"/>
        </w:rPr>
        <w:t>09</w:t>
      </w:r>
      <w:r>
        <w:rPr>
          <w:rFonts w:hint="eastAsia" w:ascii="宋体" w:hAnsi="宋体" w:eastAsia="宋体" w:cs="宋体"/>
          <w:kern w:val="0"/>
          <w:sz w:val="24"/>
          <w:szCs w:val="24"/>
          <w:highlight w:val="none"/>
        </w:rPr>
        <w:t>时</w:t>
      </w:r>
      <w:r>
        <w:rPr>
          <w:rFonts w:hint="eastAsia" w:ascii="宋体" w:hAnsi="宋体" w:eastAsia="宋体" w:cs="宋体"/>
          <w:kern w:val="0"/>
          <w:sz w:val="24"/>
          <w:szCs w:val="24"/>
          <w:highlight w:val="none"/>
          <w:lang w:val="en-US" w:eastAsia="zh-CN"/>
        </w:rPr>
        <w:t>30</w:t>
      </w:r>
      <w:r>
        <w:rPr>
          <w:rFonts w:hint="eastAsia" w:ascii="宋体" w:hAnsi="宋体" w:eastAsia="宋体" w:cs="宋体"/>
          <w:kern w:val="0"/>
          <w:sz w:val="24"/>
          <w:szCs w:val="24"/>
          <w:highlight w:val="none"/>
        </w:rPr>
        <w:t>分（北京时间）</w:t>
      </w:r>
    </w:p>
    <w:p>
      <w:pPr>
        <w:keepNext w:val="0"/>
        <w:keepLines w:val="0"/>
        <w:pageBreakBefore w:val="0"/>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kern w:val="0"/>
          <w:sz w:val="24"/>
          <w:szCs w:val="24"/>
          <w:highlight w:val="none"/>
          <w:lang w:eastAsia="zh-CN"/>
        </w:rPr>
        <w:t>开标（谈判）地点：启东市党风廉政教育中心门卫西隔壁小会议室</w:t>
      </w:r>
      <w:r>
        <w:rPr>
          <w:rFonts w:hint="eastAsia" w:ascii="宋体" w:hAnsi="宋体" w:eastAsia="宋体" w:cs="宋体"/>
          <w:kern w:val="0"/>
          <w:sz w:val="24"/>
          <w:szCs w:val="24"/>
          <w:lang w:val="en-US" w:eastAsia="zh-CN"/>
        </w:rPr>
        <w:t>。</w:t>
      </w:r>
    </w:p>
    <w:p>
      <w:pPr>
        <w:keepNext w:val="0"/>
        <w:keepLines w:val="0"/>
        <w:pageBreakBefore w:val="0"/>
        <w:kinsoku/>
        <w:wordWrap/>
        <w:overflowPunct/>
        <w:topLinePunct w:val="0"/>
        <w:autoSpaceDE/>
        <w:autoSpaceDN/>
        <w:bidi w:val="0"/>
        <w:adjustRightInd/>
        <w:snapToGrid w:val="0"/>
        <w:spacing w:line="440" w:lineRule="exact"/>
        <w:ind w:left="0" w:leftChars="0" w:firstLine="482" w:firstLineChars="200"/>
        <w:textAlignment w:val="auto"/>
        <w:rPr>
          <w:rFonts w:hint="eastAsia" w:ascii="宋体" w:hAnsi="宋体" w:eastAsia="宋体" w:cs="宋体"/>
          <w:b/>
          <w:sz w:val="24"/>
          <w:szCs w:val="24"/>
          <w:highlight w:val="none"/>
          <w:shd w:val="clear" w:color="auto" w:fill="FFFFFF"/>
        </w:rPr>
      </w:pPr>
      <w:r>
        <w:rPr>
          <w:rFonts w:hint="eastAsia" w:ascii="宋体" w:hAnsi="宋体" w:eastAsia="宋体" w:cs="宋体"/>
          <w:b/>
          <w:sz w:val="24"/>
          <w:szCs w:val="24"/>
          <w:highlight w:val="none"/>
          <w:shd w:val="clear" w:color="auto" w:fill="FFFFFF"/>
        </w:rPr>
        <w:t>五、公告期限</w:t>
      </w:r>
    </w:p>
    <w:p>
      <w:pPr>
        <w:keepNext w:val="0"/>
        <w:keepLines w:val="0"/>
        <w:pageBreakBefore w:val="0"/>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自本公告发布之日起3个工作日。</w:t>
      </w:r>
    </w:p>
    <w:p>
      <w:pPr>
        <w:keepNext w:val="0"/>
        <w:keepLines w:val="0"/>
        <w:pageBreakBefore w:val="0"/>
        <w:kinsoku/>
        <w:wordWrap/>
        <w:overflowPunct/>
        <w:topLinePunct w:val="0"/>
        <w:autoSpaceDE/>
        <w:autoSpaceDN/>
        <w:bidi w:val="0"/>
        <w:adjustRightInd/>
        <w:snapToGrid w:val="0"/>
        <w:spacing w:line="440" w:lineRule="exact"/>
        <w:ind w:left="0" w:leftChars="0" w:firstLine="482" w:firstLineChars="200"/>
        <w:textAlignment w:val="auto"/>
        <w:rPr>
          <w:rFonts w:hint="eastAsia" w:ascii="宋体" w:hAnsi="宋体" w:eastAsia="宋体" w:cs="宋体"/>
          <w:b/>
          <w:sz w:val="24"/>
          <w:szCs w:val="24"/>
          <w:shd w:val="clear" w:color="auto" w:fill="FFFFFF"/>
        </w:rPr>
      </w:pPr>
      <w:r>
        <w:rPr>
          <w:rFonts w:hint="eastAsia" w:ascii="宋体" w:hAnsi="宋体" w:eastAsia="宋体" w:cs="宋体"/>
          <w:b/>
          <w:sz w:val="24"/>
          <w:szCs w:val="24"/>
          <w:shd w:val="clear" w:color="auto" w:fill="FFFFFF"/>
        </w:rPr>
        <w:t>六、其他补充事宜</w:t>
      </w:r>
    </w:p>
    <w:p>
      <w:pPr>
        <w:keepNext w:val="0"/>
        <w:keepLines w:val="0"/>
        <w:pageBreakBefore w:val="0"/>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1.投标保证金：根据省财政厅要求，本项目不收取投标保证金</w:t>
      </w:r>
    </w:p>
    <w:p>
      <w:pPr>
        <w:keepNext w:val="0"/>
        <w:keepLines w:val="0"/>
        <w:pageBreakBefore w:val="0"/>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2.对谈判文件的询问、质疑请以书面形式向采购人、采购代理机构提出。</w:t>
      </w:r>
    </w:p>
    <w:p>
      <w:pPr>
        <w:keepNext w:val="0"/>
        <w:keepLines w:val="0"/>
        <w:pageBreakBefore w:val="0"/>
        <w:kinsoku/>
        <w:wordWrap/>
        <w:overflowPunct/>
        <w:topLinePunct w:val="0"/>
        <w:autoSpaceDE/>
        <w:autoSpaceDN/>
        <w:bidi w:val="0"/>
        <w:adjustRightInd/>
        <w:snapToGrid w:val="0"/>
        <w:spacing w:line="440" w:lineRule="exact"/>
        <w:ind w:left="0" w:leftChars="0" w:firstLine="482" w:firstLineChars="200"/>
        <w:textAlignment w:val="auto"/>
        <w:rPr>
          <w:rFonts w:hint="eastAsia" w:ascii="宋体" w:hAnsi="宋体" w:eastAsia="宋体" w:cs="宋体"/>
          <w:b/>
          <w:sz w:val="24"/>
          <w:szCs w:val="24"/>
          <w:shd w:val="clear" w:color="auto" w:fill="FFFFFF"/>
        </w:rPr>
      </w:pPr>
      <w:r>
        <w:rPr>
          <w:rFonts w:hint="eastAsia" w:ascii="宋体" w:hAnsi="宋体" w:eastAsia="宋体" w:cs="宋体"/>
          <w:b/>
          <w:sz w:val="24"/>
          <w:szCs w:val="24"/>
          <w:shd w:val="clear" w:color="auto" w:fill="FFFFFF"/>
        </w:rPr>
        <w:t>七、凡对本次采购提出询问，请按以下方式联系</w:t>
      </w:r>
    </w:p>
    <w:p>
      <w:pPr>
        <w:keepNext w:val="0"/>
        <w:keepLines w:val="0"/>
        <w:pageBreakBefore w:val="0"/>
        <w:kinsoku/>
        <w:wordWrap/>
        <w:overflowPunct/>
        <w:topLinePunct w:val="0"/>
        <w:autoSpaceDE/>
        <w:autoSpaceDN/>
        <w:bidi w:val="0"/>
        <w:adjustRightInd/>
        <w:snapToGrid w:val="0"/>
        <w:spacing w:line="440" w:lineRule="exact"/>
        <w:ind w:left="0" w:leftChars="0" w:firstLine="482" w:firstLineChars="200"/>
        <w:textAlignment w:val="auto"/>
        <w:rPr>
          <w:rFonts w:hint="eastAsia" w:ascii="宋体" w:hAnsi="宋体" w:eastAsia="宋体" w:cs="宋体"/>
          <w:b/>
          <w:sz w:val="24"/>
          <w:szCs w:val="24"/>
          <w:shd w:val="clear" w:color="auto" w:fill="FFFFFF"/>
        </w:rPr>
      </w:pPr>
      <w:r>
        <w:rPr>
          <w:rFonts w:hint="eastAsia" w:ascii="宋体" w:hAnsi="宋体" w:eastAsia="宋体" w:cs="宋体"/>
          <w:b/>
          <w:sz w:val="24"/>
          <w:szCs w:val="24"/>
          <w:shd w:val="clear" w:color="auto" w:fill="FFFFFF"/>
        </w:rPr>
        <w:t>1.采购人信息：</w:t>
      </w:r>
    </w:p>
    <w:p>
      <w:pPr>
        <w:keepNext w:val="0"/>
        <w:keepLines w:val="0"/>
        <w:pageBreakBefore w:val="0"/>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名称：启东市党风廉政教育中心</w:t>
      </w:r>
    </w:p>
    <w:p>
      <w:pPr>
        <w:keepNext w:val="0"/>
        <w:keepLines w:val="0"/>
        <w:pageBreakBefore w:val="0"/>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地址：启东市党风廉政教育中心</w:t>
      </w:r>
    </w:p>
    <w:p>
      <w:pPr>
        <w:keepNext w:val="0"/>
        <w:keepLines w:val="0"/>
        <w:pageBreakBefore w:val="0"/>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联系人：施海荣 </w:t>
      </w:r>
      <w:r>
        <w:rPr>
          <w:rFonts w:hint="eastAsia" w:ascii="宋体" w:hAnsi="宋体" w:eastAsia="宋体" w:cs="宋体"/>
          <w:sz w:val="24"/>
          <w:szCs w:val="24"/>
          <w:shd w:val="clear" w:color="auto" w:fill="FFFFFF"/>
          <w:lang w:eastAsia="zh-CN"/>
        </w:rPr>
        <w:tab/>
      </w:r>
      <w:r>
        <w:rPr>
          <w:rFonts w:hint="eastAsia" w:ascii="宋体" w:hAnsi="宋体" w:eastAsia="宋体" w:cs="宋体"/>
          <w:sz w:val="24"/>
          <w:szCs w:val="24"/>
          <w:shd w:val="clear" w:color="auto" w:fill="FFFFFF"/>
          <w:lang w:eastAsia="zh-CN"/>
        </w:rPr>
        <w:t>   联系电话：18921658002 </w:t>
      </w:r>
    </w:p>
    <w:p>
      <w:pPr>
        <w:keepNext w:val="0"/>
        <w:keepLines w:val="0"/>
        <w:pageBreakBefore w:val="0"/>
        <w:kinsoku/>
        <w:wordWrap/>
        <w:overflowPunct/>
        <w:topLinePunct w:val="0"/>
        <w:autoSpaceDE/>
        <w:autoSpaceDN/>
        <w:bidi w:val="0"/>
        <w:adjustRightInd/>
        <w:snapToGrid w:val="0"/>
        <w:spacing w:line="440" w:lineRule="exact"/>
        <w:ind w:left="0" w:leftChars="0" w:firstLine="482" w:firstLineChars="200"/>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2.采购代理机构信息：</w:t>
      </w:r>
    </w:p>
    <w:p>
      <w:pPr>
        <w:keepNext w:val="0"/>
        <w:keepLines w:val="0"/>
        <w:pageBreakBefore w:val="0"/>
        <w:kinsoku/>
        <w:wordWrap/>
        <w:overflowPunct/>
        <w:topLinePunct w:val="0"/>
        <w:autoSpaceDE/>
        <w:autoSpaceDN/>
        <w:bidi w:val="0"/>
        <w:adjustRightInd/>
        <w:snapToGrid w:val="0"/>
        <w:spacing w:line="44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名称：</w:t>
      </w:r>
      <w:r>
        <w:rPr>
          <w:rFonts w:hint="eastAsia" w:cs="仿宋_GB2312" w:asciiTheme="minorEastAsia" w:hAnsiTheme="minorEastAsia"/>
          <w:color w:val="333333"/>
          <w:kern w:val="0"/>
          <w:sz w:val="24"/>
          <w:highlight w:val="none"/>
          <w:lang w:val="en-US" w:eastAsia="zh-CN"/>
        </w:rPr>
        <w:t>江苏缔逸项目管理有限公司</w:t>
      </w:r>
    </w:p>
    <w:p>
      <w:pPr>
        <w:keepNext w:val="0"/>
        <w:keepLines w:val="0"/>
        <w:pageBreakBefore w:val="0"/>
        <w:kinsoku/>
        <w:wordWrap/>
        <w:overflowPunct/>
        <w:topLinePunct w:val="0"/>
        <w:autoSpaceDE/>
        <w:autoSpaceDN/>
        <w:bidi w:val="0"/>
        <w:adjustRightInd/>
        <w:snapToGrid w:val="0"/>
        <w:spacing w:line="44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地址：</w:t>
      </w:r>
      <w:r>
        <w:rPr>
          <w:rFonts w:hint="eastAsia" w:cs="仿宋_GB2312" w:asciiTheme="minorEastAsia" w:hAnsiTheme="minorEastAsia"/>
          <w:color w:val="333333"/>
          <w:kern w:val="0"/>
          <w:sz w:val="24"/>
          <w:highlight w:val="none"/>
          <w:lang w:val="en-US" w:eastAsia="zh-CN"/>
        </w:rPr>
        <w:t>启东市公园北路1088号</w:t>
      </w:r>
    </w:p>
    <w:p>
      <w:pPr>
        <w:keepNext w:val="0"/>
        <w:keepLines w:val="0"/>
        <w:pageBreakBefore w:val="0"/>
        <w:kinsoku/>
        <w:wordWrap/>
        <w:overflowPunct/>
        <w:topLinePunct w:val="0"/>
        <w:autoSpaceDE/>
        <w:autoSpaceDN/>
        <w:bidi w:val="0"/>
        <w:adjustRightInd/>
        <w:snapToGrid w:val="0"/>
        <w:spacing w:line="44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系</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人：</w:t>
      </w:r>
      <w:r>
        <w:rPr>
          <w:rFonts w:hint="eastAsia" w:cs="仿宋_GB2312" w:asciiTheme="minorEastAsia" w:hAnsiTheme="minorEastAsia"/>
          <w:color w:val="333333"/>
          <w:kern w:val="0"/>
          <w:sz w:val="24"/>
          <w:highlight w:val="none"/>
          <w:lang w:val="en-US" w:eastAsia="zh-CN"/>
        </w:rPr>
        <w:t>苏海丹</w:t>
      </w:r>
    </w:p>
    <w:p>
      <w:pPr>
        <w:keepNext w:val="0"/>
        <w:keepLines w:val="0"/>
        <w:pageBreakBefore w:val="0"/>
        <w:kinsoku/>
        <w:wordWrap/>
        <w:overflowPunct/>
        <w:topLinePunct w:val="0"/>
        <w:autoSpaceDE/>
        <w:autoSpaceDN/>
        <w:bidi w:val="0"/>
        <w:adjustRightInd/>
        <w:snapToGrid w:val="0"/>
        <w:spacing w:line="440" w:lineRule="exact"/>
        <w:ind w:left="0" w:leftChars="0" w:firstLine="480" w:firstLineChars="200"/>
        <w:jc w:val="left"/>
        <w:textAlignment w:val="auto"/>
        <w:rPr>
          <w:rFonts w:hint="eastAsia" w:ascii="宋体" w:hAnsi="宋体" w:eastAsia="宋体" w:cs="宋体"/>
        </w:rPr>
      </w:pPr>
      <w:r>
        <w:rPr>
          <w:rFonts w:hint="eastAsia" w:ascii="宋体" w:hAnsi="宋体" w:eastAsia="宋体" w:cs="宋体"/>
          <w:sz w:val="24"/>
          <w:szCs w:val="24"/>
        </w:rPr>
        <w:t>联系电话：</w:t>
      </w:r>
      <w:r>
        <w:rPr>
          <w:rFonts w:hint="eastAsia" w:cs="仿宋_GB2312" w:asciiTheme="minorEastAsia" w:hAnsiTheme="minorEastAsia"/>
          <w:color w:val="333333"/>
          <w:kern w:val="0"/>
          <w:sz w:val="24"/>
          <w:highlight w:val="none"/>
        </w:rPr>
        <w:t>0513-</w:t>
      </w:r>
      <w:r>
        <w:rPr>
          <w:rFonts w:hint="eastAsia" w:cs="仿宋_GB2312" w:asciiTheme="minorEastAsia" w:hAnsiTheme="minorEastAsia"/>
          <w:color w:val="333333"/>
          <w:kern w:val="0"/>
          <w:sz w:val="24"/>
          <w:highlight w:val="none"/>
          <w:lang w:val="en-US" w:eastAsia="zh-CN"/>
        </w:rPr>
        <w:t xml:space="preserve">68039918 </w:t>
      </w:r>
    </w:p>
    <w:p>
      <w:pPr>
        <w:keepNext w:val="0"/>
        <w:keepLines w:val="0"/>
        <w:pageBreakBefore w:val="0"/>
        <w:kinsoku/>
        <w:wordWrap/>
        <w:overflowPunct/>
        <w:topLinePunct w:val="0"/>
        <w:bidi w:val="0"/>
        <w:adjustRightInd/>
        <w:snapToGrid w:val="0"/>
        <w:spacing w:line="440" w:lineRule="exact"/>
        <w:ind w:left="0" w:leftChars="0" w:firstLine="562" w:firstLineChars="200"/>
        <w:jc w:val="left"/>
        <w:textAlignment w:val="auto"/>
        <w:rPr>
          <w:rFonts w:hint="eastAsia" w:ascii="宋体" w:hAnsi="宋体" w:eastAsia="宋体" w:cs="宋体"/>
          <w:b/>
          <w:sz w:val="28"/>
          <w:szCs w:val="28"/>
        </w:rPr>
      </w:pPr>
    </w:p>
    <w:p>
      <w:pPr>
        <w:keepNext w:val="0"/>
        <w:keepLines w:val="0"/>
        <w:pageBreakBefore w:val="0"/>
        <w:kinsoku/>
        <w:wordWrap/>
        <w:overflowPunct/>
        <w:topLinePunct w:val="0"/>
        <w:bidi w:val="0"/>
        <w:adjustRightInd/>
        <w:snapToGrid w:val="0"/>
        <w:spacing w:line="440" w:lineRule="exact"/>
        <w:ind w:left="0" w:leftChars="0" w:firstLine="562" w:firstLineChars="200"/>
        <w:jc w:val="left"/>
        <w:textAlignment w:val="auto"/>
        <w:rPr>
          <w:rFonts w:hint="eastAsia" w:ascii="宋体" w:hAnsi="宋体" w:eastAsia="宋体" w:cs="宋体"/>
          <w:b/>
          <w:sz w:val="28"/>
          <w:szCs w:val="28"/>
        </w:rPr>
      </w:pPr>
    </w:p>
    <w:p>
      <w:pPr>
        <w:keepNext w:val="0"/>
        <w:keepLines w:val="0"/>
        <w:pageBreakBefore w:val="0"/>
        <w:kinsoku/>
        <w:wordWrap/>
        <w:overflowPunct/>
        <w:topLinePunct w:val="0"/>
        <w:bidi w:val="0"/>
        <w:adjustRightInd/>
        <w:snapToGrid w:val="0"/>
        <w:spacing w:line="440" w:lineRule="exact"/>
        <w:ind w:left="0" w:leftChars="0" w:firstLine="562" w:firstLineChars="200"/>
        <w:jc w:val="left"/>
        <w:textAlignment w:val="auto"/>
        <w:rPr>
          <w:rFonts w:hint="eastAsia" w:ascii="宋体" w:hAnsi="宋体" w:eastAsia="宋体" w:cs="宋体"/>
          <w:b/>
          <w:sz w:val="28"/>
          <w:szCs w:val="28"/>
        </w:rPr>
      </w:pPr>
    </w:p>
    <w:p>
      <w:pPr>
        <w:keepNext w:val="0"/>
        <w:keepLines w:val="0"/>
        <w:pageBreakBefore w:val="0"/>
        <w:kinsoku/>
        <w:wordWrap/>
        <w:overflowPunct/>
        <w:topLinePunct w:val="0"/>
        <w:bidi w:val="0"/>
        <w:adjustRightInd/>
        <w:snapToGrid w:val="0"/>
        <w:spacing w:line="440" w:lineRule="exact"/>
        <w:ind w:left="0" w:leftChars="0" w:firstLine="562" w:firstLineChars="200"/>
        <w:jc w:val="left"/>
        <w:textAlignment w:val="auto"/>
        <w:rPr>
          <w:rFonts w:hint="eastAsia" w:ascii="宋体" w:hAnsi="宋体" w:eastAsia="宋体" w:cs="宋体"/>
          <w:b/>
          <w:sz w:val="28"/>
          <w:szCs w:val="28"/>
        </w:rPr>
      </w:pPr>
    </w:p>
    <w:p>
      <w:pPr>
        <w:keepNext w:val="0"/>
        <w:keepLines w:val="0"/>
        <w:pageBreakBefore w:val="0"/>
        <w:kinsoku/>
        <w:wordWrap/>
        <w:overflowPunct/>
        <w:topLinePunct w:val="0"/>
        <w:bidi w:val="0"/>
        <w:adjustRightInd/>
        <w:snapToGrid w:val="0"/>
        <w:spacing w:line="440" w:lineRule="exact"/>
        <w:jc w:val="left"/>
        <w:textAlignment w:val="auto"/>
        <w:rPr>
          <w:rFonts w:hint="eastAsia" w:ascii="宋体" w:hAnsi="宋体" w:eastAsia="宋体" w:cs="宋体"/>
          <w:b/>
          <w:sz w:val="28"/>
          <w:szCs w:val="28"/>
        </w:rPr>
      </w:pPr>
    </w:p>
    <w:p>
      <w:pPr>
        <w:keepNext w:val="0"/>
        <w:keepLines w:val="0"/>
        <w:pageBreakBefore w:val="0"/>
        <w:kinsoku/>
        <w:wordWrap/>
        <w:overflowPunct/>
        <w:topLinePunct w:val="0"/>
        <w:bidi w:val="0"/>
        <w:adjustRightInd/>
        <w:snapToGrid w:val="0"/>
        <w:spacing w:line="440" w:lineRule="exact"/>
        <w:jc w:val="left"/>
        <w:textAlignment w:val="auto"/>
        <w:rPr>
          <w:rFonts w:hint="eastAsia" w:ascii="宋体" w:hAnsi="宋体" w:eastAsia="宋体" w:cs="宋体"/>
          <w:b/>
          <w:sz w:val="28"/>
          <w:szCs w:val="28"/>
        </w:rPr>
        <w:sectPr>
          <w:pgSz w:w="11906" w:h="16838"/>
          <w:pgMar w:top="1440" w:right="1800" w:bottom="1440" w:left="1800" w:header="851" w:footer="992" w:gutter="0"/>
          <w:cols w:space="425" w:num="1"/>
          <w:docGrid w:type="lines" w:linePitch="312" w:charSpace="0"/>
        </w:sectPr>
      </w:pPr>
    </w:p>
    <w:p>
      <w:pPr>
        <w:snapToGrid w:val="0"/>
        <w:spacing w:line="500" w:lineRule="exact"/>
        <w:jc w:val="center"/>
        <w:rPr>
          <w:rFonts w:hint="eastAsia" w:ascii="宋体" w:hAnsi="宋体" w:eastAsia="宋体" w:cs="宋体"/>
          <w:b/>
          <w:sz w:val="28"/>
          <w:szCs w:val="28"/>
        </w:rPr>
      </w:pPr>
      <w:r>
        <w:rPr>
          <w:rFonts w:hint="eastAsia" w:ascii="宋体" w:hAnsi="宋体" w:eastAsia="宋体" w:cs="宋体"/>
          <w:b/>
          <w:sz w:val="28"/>
          <w:szCs w:val="28"/>
        </w:rPr>
        <w:t>第二部分  谈判须知</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一、总则</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1.采购方式</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1.1本次采取竞争性谈判方式，本谈判文件仅适用于谈判公告中所述项目。</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2.合格的谈判供应商</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2.1满足谈判公告中供应商的资格要求的规定。</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2.2满足本谈判文件实质性条款的规定。</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3.适用法律</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3.1本次采购及由此产生的合同受中华人民共和国有关的法律法规制约和保护。</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4.谈判费用</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4.1参加谈判的供应商应自行承担所有与参加谈判有关的费用，无论谈判过程中的做法和结果如何，采购人、采购代理机构在任何情况下均无义务和责任承担这些费用。</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5.谈判文件的约束力</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5.1供应商一旦参加本项目采购活动，即被认为接受了本谈判文件的规定和约束。</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6.谈判文件的解释</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6.1谈判文件由采购人解释。</w:t>
      </w:r>
    </w:p>
    <w:p>
      <w:pPr>
        <w:keepNext w:val="0"/>
        <w:keepLines w:val="0"/>
        <w:pageBreakBefore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二、谈判文件</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1.谈判文件构成</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1.1谈判文件由以下部分组成：</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（1）竞争性谈判公告</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（2）谈判须知</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（3）项目需求</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（4）评审方法和评审标准</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（5）响应文件组成</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（6）附件</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请仔细检查谈判文件是否齐全，如有缺漏请立即与采购代理机构联系解决。</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供应商应认真阅读谈判文件中所有的事项、格式、条款和规范等要求。按谈判文件要求和规定编制响应文件，并保证所提供的全部资料的真实性，以使其响应文件对谈判文件作出实质性响应，否则其风险由供应商自行承担。</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2.谈判文件的澄清</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2.1任何要求对谈判文件进行澄清的供应商，应在提交首次谈判响应文件截止时间二日前以书面形式递交给采购人、采购代理机构。采购人有权对发出的谈判文件进行必要的澄清或修改。</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2.2采购人视情组织答疑会</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3.谈判文件的修改</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3.1在谈判响应文件递交截止时间前，采购人可以对谈判文件进行修改。</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3.2采购人有权按照法定的要求推迟响应文件递交截止日期和谈判日期。</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3.3谈判文件的修改将在</w:t>
      </w:r>
      <w:r>
        <w:rPr>
          <w:rFonts w:hint="eastAsia" w:ascii="宋体" w:hAnsi="宋体" w:eastAsia="宋体" w:cs="宋体"/>
          <w:sz w:val="24"/>
          <w:szCs w:val="24"/>
          <w:lang w:val="en-US" w:eastAsia="zh-CN"/>
        </w:rPr>
        <w:t>启东廉政网</w:t>
      </w:r>
      <w:r>
        <w:rPr>
          <w:rFonts w:hint="eastAsia" w:ascii="宋体" w:hAnsi="宋体" w:eastAsia="宋体" w:cs="宋体"/>
          <w:sz w:val="24"/>
          <w:szCs w:val="24"/>
        </w:rPr>
        <w:t>公布，补充文件将作为谈判文件的组成部分，并对供应商具有约束力。</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三、响应文件的编制</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1.响应文件的语言及度量衡单位</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1.1供应商递交的响应文件以及供应商与采购人就有关谈判的所有来往通知、函件和文件均应使用简体中文。</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1.2除技术性能另有规定外，响应文件所使用的度量衡单位，均须采用国家法定计量单位。</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2.响应文件构成</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2.1供应商编写的响应文件应包括资格审查文件、价格标文件。供应商按“第五部分响应文件组成”要求编写响应文件。</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3.谈判响应有效期</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3.1谈判响应有效期为本项目响应文件递交截止时间后60天。谈判响应有效期小于60天将被视为非实质性响应而予以拒绝。</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4.谈判响应有效期的延长</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在特殊情况下，采购人于原谈判响应有效期满之前，可向谈判供应商提出延长谈判响应有效期的要求。这种要求与答复均应采用书面形式。供应商可以拒绝采购人的这一要求而放弃谈判响应，同意延长谈判响应有效期的供应商既不能要求也不允许修改其响应文件。受谈判响应有效期约束的所有权利与义务均延长至新的有效期。</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四、响应文件的递交</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1.响应文件的盖章要求</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1.1响应文件必须加盖骑缝章或每页盖章。</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1.2响应文件如有修改、行间内插字和增删，修改处应由供应商加盖供应商的印章。</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2.响应文件的递交</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2.1响应文件必须提供1份正本2份副本。</w:t>
      </w:r>
    </w:p>
    <w:p>
      <w:pPr>
        <w:keepNext w:val="0"/>
        <w:keepLines w:val="0"/>
        <w:pageBreakBefore w:val="0"/>
        <w:widowControl/>
        <w:kinsoku/>
        <w:wordWrap/>
        <w:overflowPunct/>
        <w:topLinePunct w:val="0"/>
        <w:autoSpaceDE/>
        <w:autoSpaceDN/>
        <w:bidi w:val="0"/>
        <w:adjustRightInd/>
        <w:spacing w:line="440" w:lineRule="exact"/>
        <w:ind w:firstLine="560"/>
        <w:jc w:val="left"/>
        <w:textAlignment w:val="auto"/>
        <w:rPr>
          <w:rFonts w:hint="eastAsia" w:ascii="宋体" w:hAnsi="宋体" w:eastAsia="宋体" w:cs="宋体"/>
          <w:sz w:val="24"/>
          <w:szCs w:val="24"/>
        </w:rPr>
      </w:pPr>
      <w:r>
        <w:rPr>
          <w:rFonts w:hint="eastAsia" w:ascii="宋体" w:hAnsi="宋体" w:eastAsia="宋体" w:cs="宋体"/>
          <w:sz w:val="24"/>
          <w:szCs w:val="24"/>
        </w:rPr>
        <w:t>2.2响应文件由供应商</w:t>
      </w:r>
      <w:r>
        <w:rPr>
          <w:rFonts w:hint="eastAsia" w:ascii="宋体" w:hAnsi="宋体" w:eastAsia="宋体" w:cs="宋体"/>
          <w:sz w:val="24"/>
          <w:szCs w:val="24"/>
          <w:lang w:val="en-US" w:eastAsia="zh-CN"/>
        </w:rPr>
        <w:t>现场提交</w:t>
      </w:r>
      <w:r>
        <w:rPr>
          <w:rFonts w:hint="eastAsia" w:ascii="宋体" w:hAnsi="宋体" w:eastAsia="宋体" w:cs="宋体"/>
          <w:sz w:val="24"/>
          <w:szCs w:val="24"/>
        </w:rPr>
        <w:t>。</w:t>
      </w:r>
    </w:p>
    <w:p>
      <w:pPr>
        <w:keepNext w:val="0"/>
        <w:keepLines w:val="0"/>
        <w:pageBreakBefore w:val="0"/>
        <w:widowControl/>
        <w:kinsoku/>
        <w:wordWrap/>
        <w:overflowPunct/>
        <w:topLinePunct w:val="0"/>
        <w:autoSpaceDE/>
        <w:autoSpaceDN/>
        <w:bidi w:val="0"/>
        <w:adjustRightInd/>
        <w:spacing w:line="440" w:lineRule="exact"/>
        <w:ind w:firstLine="560"/>
        <w:jc w:val="left"/>
        <w:textAlignment w:val="auto"/>
        <w:rPr>
          <w:rFonts w:hint="eastAsia" w:ascii="宋体" w:hAnsi="宋体" w:eastAsia="宋体" w:cs="宋体"/>
          <w:sz w:val="24"/>
          <w:szCs w:val="24"/>
        </w:rPr>
      </w:pPr>
      <w:r>
        <w:rPr>
          <w:rFonts w:hint="eastAsia" w:ascii="宋体" w:hAnsi="宋体" w:eastAsia="宋体" w:cs="宋体"/>
          <w:sz w:val="24"/>
          <w:szCs w:val="24"/>
        </w:rPr>
        <w:t>2.3响应文件均需采用A4纸（图纸等除外）打印并装订成册，不允许使用活页夹、拉杆夹、文件夹、塑料方便式书脊（插入式或穿孔式）装订，并应在谈判响应文件封面的右上角清楚地注明“正本”或“副本”。正本和副本如有不一致之处，以正本为准。</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2.4响应文件分二包密封，一包资格审查文件、一包价格标（每包内含相应文件正副本）。</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2.5供应商应在响应文件密封袋上标明：采购人名称、项目名称、供应商名称、响应文件名称（如：“资格审查文件”、“价格标”）。</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2.6所有响应文件密封袋的封口处均应加盖供应商印章。</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2.7如果供应商未按上述要求密封及加写标记，将作无效响应文件处理。</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2.8如有要求提供原件核查的材料，供应商应将原件单独整理在一个封袋内，在响应文件递交截止时间前随响应文件一并递交至采购人。</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3.响应文件截止日期</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3.1供应商应将响应文件在响应文件递交截止时间前</w:t>
      </w:r>
      <w:r>
        <w:rPr>
          <w:rFonts w:hint="eastAsia" w:ascii="宋体" w:hAnsi="宋体" w:eastAsia="宋体" w:cs="宋体"/>
          <w:sz w:val="24"/>
          <w:szCs w:val="24"/>
          <w:lang w:val="en-US" w:eastAsia="zh-CN"/>
        </w:rPr>
        <w:t>递交</w:t>
      </w:r>
      <w:r>
        <w:rPr>
          <w:rFonts w:hint="eastAsia" w:ascii="宋体" w:hAnsi="宋体" w:eastAsia="宋体" w:cs="宋体"/>
          <w:sz w:val="24"/>
          <w:szCs w:val="24"/>
        </w:rPr>
        <w:t>至指定地点。供应商应充分考虑各种风险因素，如因供应商原因造成没有在递交截止时间前寄达，由供应商自行承担全部责任。</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3.2采购人可以按照规定，通过修改响应文件酌情延长响应文件递交截止日期，在此情况下，供应商的所有权利和义务以及供应商受制的截止日期均应以延长后新的截止日期为准。</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4.响应文件的拒收</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4.1采购人拒绝接收在其规定的响应文件递交截止时间后送达的任何响应文件。</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5.响应文件的撤回和修改</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5.1响应文件的撤回</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5.1.1供应商可在响应文件递交截止时间前，撤回其响应文件。</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5.1.2供应商撤回响应文件，则认为其不再参与本项目谈判活动。</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5.2响应文件的修改</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5.2.1供应商可在响应文件递交截止时间前，对其响应文件进行补充、修改，供应商必须将修改响应文件的书面材料并密封后提交给采购人或采购代理机构，同时在封套上标明“修改响应文件”和“开标时启封”字样。采购人或采购代理机构可以予以接收，但不退还响应文件。补充、修改的内容应当按照谈判文件要求签署、盖章、密封后，作为响应文件的组成部分。</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5.3在响应文件递交截止时间之后，供应商不得对其响应文件作任何修改。</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5.4在响应文件截止时间至响应文件中规定的谈判响应有效期满之间的这段时间内，供应商不得撤回其响应文件。</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五、谈判与评审</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1.谈判仪式</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1.1采购人将在谈判公告中规定的时间和地点组织谈判开始仪式。</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1.2采购人在谈判结束后公布各供应商的最后报价。</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2.竞争性谈判小组</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2.1谈判开始仪式结束后，采购人将立即组织竞争性谈判小组进行评审。</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2.2竞争性谈判小组由3人</w:t>
      </w:r>
      <w:r>
        <w:rPr>
          <w:rFonts w:hint="eastAsia" w:ascii="宋体" w:hAnsi="宋体" w:eastAsia="宋体" w:cs="宋体"/>
          <w:sz w:val="24"/>
          <w:szCs w:val="24"/>
          <w:lang w:eastAsia="zh-CN"/>
        </w:rPr>
        <w:t>及</w:t>
      </w:r>
      <w:r>
        <w:rPr>
          <w:rFonts w:hint="eastAsia" w:ascii="宋体" w:hAnsi="宋体" w:eastAsia="宋体" w:cs="宋体"/>
          <w:sz w:val="24"/>
          <w:szCs w:val="24"/>
        </w:rPr>
        <w:t>以上单数组成</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2.3达到公开招标限额标准的货物或服务采购项目，竞争性谈判小组应当由5人以上单数组成。</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2.4谈判小组独立工作，负责评审所有响应文件并确定成交候选人。</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3.谈判评审过程的保密与公正</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3.1谈判小组、采购人、采购代理机构、相关监督人员等与评审工作有关的人员，对评审情况以及在评审过程中获悉的国家秘密、商业秘密负有保密责任。</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3.2在谈判评审过程中，谈判供应商不得以任何行为影响谈判评审过程，否则其响应文件将被作为无效响应文件。</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谈判小组成员应当按照客观、公正、审慎的原则，根据谈判文件规定的评审程序、评审方法和评审标准进行独立评审。未实质性响应谈判文件的响应文件按无效响应处理，谈判小组应当告知提交响应文件的供应商。</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3.4评审开始后，直至向成交供应商授予合同时止，凡是与审查、澄清、评价和比较响应的有关资料以及授标建议等，采购人、谈判小组、采购代理机构均不得向供应商或与评审无关的其他人员透露。</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3.5采购人、采购代理机构和评审小组不向未成交的供应商解释未成交原因，也不公布评审过程中的相关细节。</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4.评审过程的澄清</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4.1评审期间，为有助于对响应文件的审查、评价和比较，谈判小组有权以书面形式要求响应人对其响应文件进行澄清，但并非对每个供应商都作澄清要求。</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4.2接到谈判小组澄清要求的供应商应按谈判小组规定的时间和格式做出书面澄清，澄清的内容作为响应文件的补充部分，但实质性的内容不得做任何更改。</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4.3接到谈判小组澄清要求的供应商如未按规定做出澄清，其风险由供应商自行承担。</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5.对响应文件的初审</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5.1响应文件初审分为资格性审查和符合性审查。</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5.1.1资格性审查：依据法律法规和谈判文件的规定，谈判小组对响应文件中的资格审查证明材料进行审查，以确定供应商是否具备参加谈判的资格。</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highlight w:val="none"/>
        </w:rPr>
        <w:t>在“信用中国”网站有不良信用记录的供应商将被取消参加谈判的资格</w:t>
      </w:r>
      <w:r>
        <w:rPr>
          <w:rFonts w:hint="eastAsia" w:ascii="宋体" w:hAnsi="宋体" w:eastAsia="宋体" w:cs="宋体"/>
          <w:sz w:val="24"/>
          <w:szCs w:val="24"/>
        </w:rPr>
        <w:t>。接受联合体的项目，两个以上的自然人、法人或者其他组织组成一个联合体，以一个供应商的身份共同参加政府采购活动的,联合体成员中任何一方存在不良信用记录的，视同联合体存在不良应用记录。</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5.1.2符合性审查：依据谈判文件的规定，由谈判小组从响应文件的有效性、完整性和对谈判文件的响应程度进行审查，以确定是否对谈判文件的实质性要求作出响应。</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5.1.3未通过资格审查或符合性审查的供应商，采购代理机构将现场告知未通过资格审查或符合性审查的原因，评审结束后，采购代理机构将不再告知未通过资格审查或符合性审查的原因。</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5.2在正式谈判前，谈判小组将首先审查每份响应文件是否实质性响应了谈判文件的要求。实质性响应的响应文件应该是与谈判文件要求的全部条款、条件和规格相符，没有重大负偏离或保留。</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所谓重大负偏离或保留是指与谈判文件规定的实质性要求存在负偏离，或者在实质上与谈判文件不一致，而且限制了合同中买方和见证方的权利或供应商的义务，纠正这些偏离或保留将会对其他实质性响应要求的供应商的竞争地位产生不公正的影响。重大偏离由谈判小组按照少数服从多数的原则认定。谈判小组决定响应文件的响应性只根据响应文件本身的内容，而不寻求外部的证据。</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5.3如果响应文件实质上没有响应谈判文件的要求，谈判小组将予以拒绝，供应商不得通过修改或撤销不合要求的偏离或保留而使其响应文件成为实质性响应文件。</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5.4谈判小组将对确定为实质性响应的文件进行进一步审核，看其是否有计算上或累加上的算术错误，修正错误的原则如下：</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（1）响应文件中谈判报价总表内容与响应文件中相应内容不一致的，以谈判报价总表为准。</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（2）大写金额和小写金额不一致的，以大写金额为准。</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（3）单价金额小数点或者百分比有明显错位的，以谈判报价总表的总价为准，并修改单价。</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（4）总价金额与按单价汇总金额不一致的，以单价金额计算结果为准。</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同时出现两种以上错误的，按照前款规定的顺序修正。</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5.5谈判小组将按上述修正错误的方法调整响应文件中的报价，并现场告知供应商，调整后的价格应对供应商具有约束力。如果供应商不接受修正后的价格，则其谈判活动将被拒绝。</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5.6谈判小组将允许修正响应文件中不构成重大偏离的、微小的、非正规的、不一致的或不规则的地方，但这些修改不能影响任何供应商相应的名次排列。</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5.7同一项目（项目未分包）或同一分包（项目有不同分包），如出现同一品牌同一型号的产品有多个供应商参加谈判时，谈判中在其他条件合格的前提下，选取报价最低的供应商参加谈判最后报价，其他供应商作为无效响应处理。</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5.8提供相同品牌产品的不同供应商参加同一合同项下谈判的，以其中通过资格审查、符合性审查且报价最低的参加谈判；报价相同的，由谈判小组按照随机抽取的方式确定一个参加谈判的供应商，其他供应商作为无效响应处理。</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非单一产品采购项目，谈判文件中将载明其中的核心产品。多家供应商提供的核心产品品牌相同的，按前款规定处理。</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6.被认定为未实质性响应谈判文件的响应文件的情形</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6.1出现下列情形之一的，作无效响应处理。</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6.1.1响应文件未按照谈判文件的要求进行制作或密封的。</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6.1.2响应文件未按规定加盖供应商印章，投标报价部分未盖章的。</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6.1.3响应文件的关键内容字迹模糊，无法辨认的。</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6.1.4供应商不具备谈判文件中规定的资格要求的。</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6.1.5响应文件与谈判文件有重大偏离的或未能实质性响应谈判文件要求的。</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6.1.6供应商属于投标禁止情形的。</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6.1.7响应文件除价格标外出现报价的。</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6.1.8响应报价超过或等于最高限价的。</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6.1.9同一供应商提交两个（含两个）以上不同的响应报价的。</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6.1.10未通过符合性检查的。</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6.1.11不符合法律、法规和谈判文件中规定的其他实质性要求的。</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6.1.12供应商被 “信用中国”网站列入失信被执行人或重大税收违法案件当事人名单或政府采购严重失信行为记录名单。或查询“信用中国”网站后发现供应商存在其他不符合《中华人民共和国政府采购法》第二十二条规定条件的信用记录。</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6.1.13响应文件含有采购人不能接受的附加条件的。</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6.1.14谈判小组认为供应商的报价明显低于其他通过符合性审查供应商的报价，有可能影响产品质量或者不能诚信履约的，将现场要求其在合理的时间内提供说明，必要时提交相关证明材料；供应商不能证明其报价合理性的，谈判小组应当将其作为无效响应处理。</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6.1.15其他法律、法规及本谈判文件规定的属无效响应的情形。</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6.2出现下列情形之一的，谈判失败</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6.2.1符合条件的供应商或者对谈判文件作实质响应的供应商不足3家的，符合《政府采购非招标采购方式管理暂行办法》第二十七条第二款规定情形：技术复杂或者性质特殊，不能确定详细规格或者具体要求的，提交最后报价的供应商可以为2家。</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6.2.2出现影响采购公正的违法违规行为的。</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6.2.3因重大变故，采购任务取消的。</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6.2.4谈判小组认定谈判文件存在歧义、重大缺陷导致评审工作无法进行。</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6.3响应文件递交截止时间结束后参加谈判的供应商不足三家的处理：</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6.3.1如出现响应文件提交截止时间结束后参加谈判的供应商或者在评审期间对谈判文件做出实质响应的供应商不足三家情况，按政府采购相关规定执行。</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六、成交</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1.确定成交单位</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1.1成交候选供应商的选取原则和数量见谈判文件第四部分规定。</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1.2采购人授权谈判小组在成交候选供应商中直接确定成交供应商。</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1.3采购人将在“</w:t>
      </w:r>
      <w:r>
        <w:rPr>
          <w:rFonts w:hint="eastAsia" w:ascii="宋体" w:hAnsi="宋体" w:eastAsia="宋体" w:cs="宋体"/>
          <w:sz w:val="24"/>
          <w:szCs w:val="24"/>
          <w:lang w:val="en-US" w:eastAsia="zh-CN"/>
        </w:rPr>
        <w:t>启东廉政网</w:t>
      </w:r>
      <w:r>
        <w:rPr>
          <w:rFonts w:hint="eastAsia" w:ascii="宋体" w:hAnsi="宋体" w:eastAsia="宋体" w:cs="宋体"/>
          <w:sz w:val="24"/>
          <w:szCs w:val="24"/>
        </w:rPr>
        <w:t>”发布成交结果公告，公告期限为1个工作日。</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1.4若有充分证据证明，成交供应商出现下列情况之一的，一经查实，将被取消成交资格：</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1.4.1提供虚假材料谋取成交的。</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1.4.2向采购人、采购代理机构行贿或者评审专家提供其他不正当利益的。</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1.4.3恶意竞争，最终总报价明显低于其自身合理成本且又无法提供证明的。</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1.4.4属于本文件规定的无效条件，但在评审过程中又未被谈判小组发现的。</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1.4.5与采购人或者其他供应商恶意串通的。</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1.4.6采取不正当手段诋毁、排挤其他供应商的。</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1.5有下列情形之一的，视为供应商串通参与谈判，响应无效：</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1.5.1不同供应商的响应文件由同一单位或者个人编制。</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1.5.2不同供应商委托同一单位或者个人办理谈判事宜。</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1.5.3不同供应商的响应文件载明的项目管理成员或者联系人员为同一人。</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1.5.4不同供应商的响应文件异常一致或者响应报价呈规律性差异。</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2.质疑处理</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2.1提出质疑的供应商应当是参与所质疑项目采购活动的供应商。潜在供应商依法获取其可质疑的谈判文件的，可以对谈判文件提出质疑。</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供应商认为谈判文件、采购过程和采购结果使自己的权益受到损害的，可以在知道或者应知其权益受到损害之日起七个工作日内，以书面形式向采购人或采购代理机构提出质疑。上述应知其权益受到损害之日，是指：</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2.2.1对可以质疑的谈判文件提出质疑的，为收到谈判文件之日或者谈判文件公告期限届满之日。</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2.2.2对采购过程提出质疑的，为各采购程序环节结束之日。</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2.2.3对成交结果提出质疑的，为成交结果公告期限届满之日。</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供应商应当在法定质疑期内一次性提出针对同一采购程序环节的质疑。</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2.3质疑函必须按照本谈判文件中《质疑函范本》要求的格式和内容进行填写。供应商如组成联合体参加谈判，则《质疑函范本》中要求签字、盖章、加盖公章之处，联合体各方均须按要求签字、盖章、加盖公章。</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2.4对采购方式、谈判文件、谈判结果等的质疑请向采购人或采购代理机构提出。供应商于法定期限内提起质疑，向采购人或采购代理机构以书面形式提交质疑函。</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2.5以下情形的质疑不予受理</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2.5.1内容不符合《政府采购质疑和投诉办法》第十二条规定的质疑。</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2.5.2超出政府采购法定期限的质疑。</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2.5.3未参加谈判活动的供应商或在谈判活动中自身权益未受到损害的供应商所提出的质疑。</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2.5.4供应商组成联合体参加谈判，联合体中任何一方或多方未按要求签字、盖章、加盖公章的质疑。</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2.6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3.成交通知书</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3.1成交结果确定后，采购人将向成交供应商发出成交通知书。</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3.2成交通知书将是合同的一个组成部分。对采购人和成交供应商均具有法律效力。成交通知书发出后，采购人改变成交结果的，或者成交供应商放弃谈判项目的，应当依法承担法律责任。</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七、授予合同</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1.签订合同</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1.1成交供应商应当在成交通知书发出之日起</w:t>
      </w:r>
      <w:r>
        <w:rPr>
          <w:rFonts w:hint="eastAsia" w:ascii="宋体" w:hAnsi="宋体" w:eastAsia="宋体" w:cs="宋体"/>
          <w:sz w:val="24"/>
          <w:szCs w:val="24"/>
          <w:lang w:val="en-US" w:eastAsia="zh-CN"/>
        </w:rPr>
        <w:t>十五</w:t>
      </w:r>
      <w:r>
        <w:rPr>
          <w:rFonts w:hint="eastAsia" w:ascii="宋体" w:hAnsi="宋体" w:eastAsia="宋体" w:cs="宋体"/>
          <w:sz w:val="24"/>
          <w:szCs w:val="24"/>
        </w:rPr>
        <w:t>日内，按照谈判文件确定的事项与采购人签订采购合同。</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1.2谈判文件、成交供应商的响应文件及谈判过程中有关澄清、承诺文件均应作为合同附件。</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签订合同后，成交供应商不得将货物（含其他相关服务）或服务进行转包。未经采购人同意，成交供应商也不得采用分包的形式履行合同，否则采购人有权终止合同，成交供应商的履约保证金将不予退还。采购合同分包履行的，成交供应商就采购项目和分包项目向采购人负责，分包供应商就分包项目承担责任。转包或分包造成采购人损失的，成交供应商应承担相应赔偿责任。</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2. 货物和服务的追加、减少和添购</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2.1采购合同履行中，采购人需追加与合同标的相同的货物和服务的，在不改变合同其他条款的前提下，可以与成交供应商协商签订补充合同，但所有补充合同的采购金额不超过原合同金额10%。</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8"/>
          <w:szCs w:val="28"/>
        </w:rPr>
      </w:pPr>
      <w:r>
        <w:rPr>
          <w:rFonts w:hint="eastAsia" w:ascii="宋体" w:hAnsi="宋体" w:eastAsia="宋体" w:cs="宋体"/>
          <w:sz w:val="24"/>
          <w:szCs w:val="24"/>
        </w:rPr>
        <w:t>2.2采购结束后，采购人若由于各种客观原因，必须对采购项目所牵涉的货物和服务进行适当的减少时，在双方协商一致的前提下，可以按照采购时的价格水平做相应的调减，并据此签订补充合同。</w:t>
      </w:r>
    </w:p>
    <w:p>
      <w:pPr>
        <w:rPr>
          <w:rFonts w:hint="eastAsia" w:ascii="宋体" w:hAnsi="宋体" w:eastAsia="宋体" w:cs="宋体"/>
        </w:rPr>
      </w:pPr>
    </w:p>
    <w:p>
      <w:pPr>
        <w:widowControl/>
        <w:snapToGrid w:val="0"/>
        <w:spacing w:line="500" w:lineRule="exact"/>
        <w:ind w:firstLine="643" w:firstLineChars="200"/>
        <w:jc w:val="center"/>
        <w:rPr>
          <w:rFonts w:hint="eastAsia" w:ascii="宋体" w:hAnsi="宋体" w:eastAsia="宋体" w:cs="宋体"/>
          <w:b/>
          <w:sz w:val="32"/>
          <w:szCs w:val="32"/>
        </w:rPr>
      </w:pPr>
    </w:p>
    <w:p>
      <w:pPr>
        <w:widowControl/>
        <w:snapToGrid w:val="0"/>
        <w:spacing w:line="500" w:lineRule="exact"/>
        <w:ind w:firstLine="643" w:firstLineChars="200"/>
        <w:jc w:val="center"/>
        <w:rPr>
          <w:rFonts w:hint="eastAsia" w:ascii="宋体" w:hAnsi="宋体" w:eastAsia="宋体" w:cs="宋体"/>
          <w:b/>
          <w:sz w:val="32"/>
          <w:szCs w:val="32"/>
        </w:rPr>
        <w:sectPr>
          <w:pgSz w:w="11906" w:h="16838"/>
          <w:pgMar w:top="1440" w:right="1800" w:bottom="1440" w:left="1800" w:header="851" w:footer="992" w:gutter="0"/>
          <w:cols w:space="425" w:num="1"/>
          <w:docGrid w:type="lines" w:linePitch="312" w:charSpace="0"/>
        </w:sectPr>
      </w:pPr>
    </w:p>
    <w:p>
      <w:pPr>
        <w:widowControl/>
        <w:snapToGrid w:val="0"/>
        <w:spacing w:line="500" w:lineRule="exact"/>
        <w:ind w:firstLine="643" w:firstLineChars="200"/>
        <w:jc w:val="center"/>
        <w:rPr>
          <w:rFonts w:hint="eastAsia" w:ascii="宋体" w:hAnsi="宋体" w:eastAsia="宋体" w:cs="宋体"/>
          <w:b/>
          <w:sz w:val="32"/>
          <w:szCs w:val="32"/>
        </w:rPr>
      </w:pPr>
      <w:r>
        <w:rPr>
          <w:rFonts w:hint="eastAsia" w:ascii="宋体" w:hAnsi="宋体" w:eastAsia="宋体" w:cs="宋体"/>
          <w:b/>
          <w:sz w:val="32"/>
          <w:szCs w:val="32"/>
        </w:rPr>
        <w:t>第三部分  项目需求</w:t>
      </w:r>
    </w:p>
    <w:p>
      <w:pPr>
        <w:keepNext w:val="0"/>
        <w:keepLines w:val="0"/>
        <w:pageBreakBefore w:val="0"/>
        <w:widowControl w:val="0"/>
        <w:kinsoku/>
        <w:wordWrap/>
        <w:overflowPunct/>
        <w:topLinePunct w:val="0"/>
        <w:autoSpaceDE/>
        <w:autoSpaceDN/>
        <w:bidi w:val="0"/>
        <w:snapToGrid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请供应商在制作响应文件时仔细研究项目需求说明。</w:t>
      </w:r>
    </w:p>
    <w:p>
      <w:pPr>
        <w:keepNext w:val="0"/>
        <w:keepLines w:val="0"/>
        <w:pageBreakBefore w:val="0"/>
        <w:widowControl w:val="0"/>
        <w:numPr>
          <w:ilvl w:val="0"/>
          <w:numId w:val="1"/>
        </w:numPr>
        <w:kinsoku/>
        <w:wordWrap/>
        <w:overflowPunct/>
        <w:topLinePunct w:val="0"/>
        <w:autoSpaceDE/>
        <w:autoSpaceDN/>
        <w:bidi w:val="0"/>
        <w:snapToGrid w:val="0"/>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采购内容</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right="0" w:rightChars="0" w:firstLine="480" w:firstLineChars="200"/>
        <w:textAlignment w:val="auto"/>
        <w:rPr>
          <w:rFonts w:hint="default" w:ascii="宋体" w:hAnsi="宋体"/>
          <w:b/>
          <w:color w:val="auto"/>
          <w:sz w:val="24"/>
          <w:szCs w:val="24"/>
          <w:highlight w:val="none"/>
        </w:rPr>
      </w:pPr>
      <w:r>
        <w:rPr>
          <w:rFonts w:hint="eastAsia" w:ascii="宋体" w:hAnsi="宋体" w:eastAsia="宋体" w:cs="宋体"/>
          <w:b w:val="0"/>
          <w:bCs/>
          <w:sz w:val="24"/>
          <w:szCs w:val="24"/>
          <w:lang w:val="en-US" w:eastAsia="zh-CN"/>
        </w:rPr>
        <w:t>本次采购内容包括：启东市党风廉政建设教育中心</w:t>
      </w:r>
      <w:r>
        <w:rPr>
          <w:rFonts w:hint="eastAsia" w:ascii="宋体" w:hAnsi="宋体"/>
          <w:color w:val="000000"/>
          <w:sz w:val="24"/>
          <w:szCs w:val="24"/>
        </w:rPr>
        <w:t>电梯维保服务</w:t>
      </w:r>
      <w:r>
        <w:rPr>
          <w:rFonts w:hint="eastAsia" w:ascii="宋体" w:hAnsi="宋体"/>
          <w:color w:val="000000"/>
          <w:sz w:val="24"/>
          <w:szCs w:val="24"/>
          <w:lang w:eastAsia="zh-CN"/>
        </w:rPr>
        <w:t>，共</w:t>
      </w:r>
      <w:r>
        <w:rPr>
          <w:rFonts w:hint="eastAsia" w:ascii="宋体" w:hAnsi="宋体"/>
          <w:color w:val="000000"/>
          <w:sz w:val="24"/>
          <w:szCs w:val="24"/>
          <w:lang w:val="en-US" w:eastAsia="zh-CN"/>
        </w:rPr>
        <w:t>2</w:t>
      </w:r>
      <w:r>
        <w:rPr>
          <w:rFonts w:hint="eastAsia" w:ascii="宋体" w:hAnsi="宋体"/>
          <w:color w:val="000000"/>
          <w:sz w:val="24"/>
          <w:szCs w:val="24"/>
          <w:lang w:eastAsia="zh-CN"/>
        </w:rPr>
        <w:t>台电梯维保，维保质量应符合国家法律法规和地方标准要求，并符合特种设备安全技术规范【电梯使用管理与维护保养规则（TSG T5001-2009）】和江苏省地方标准。具体如下：</w:t>
      </w:r>
    </w:p>
    <w:tbl>
      <w:tblPr>
        <w:tblStyle w:val="4"/>
        <w:tblW w:w="8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
        <w:gridCol w:w="2310"/>
        <w:gridCol w:w="2980"/>
        <w:gridCol w:w="2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10" w:type="dxa"/>
            <w:noWrap w:val="0"/>
            <w:vAlign w:val="center"/>
          </w:tcPr>
          <w:p>
            <w:pPr>
              <w:snapToGrid w:val="0"/>
              <w:spacing w:line="320" w:lineRule="exact"/>
              <w:jc w:val="center"/>
              <w:rPr>
                <w:sz w:val="21"/>
                <w:szCs w:val="21"/>
              </w:rPr>
            </w:pPr>
            <w:r>
              <w:rPr>
                <w:rFonts w:hint="eastAsia" w:ascii="宋体" w:hAnsi="宋体" w:cs="宋体"/>
                <w:b/>
                <w:bCs/>
                <w:color w:val="000000"/>
                <w:sz w:val="21"/>
                <w:szCs w:val="21"/>
              </w:rPr>
              <w:t>序号</w:t>
            </w:r>
          </w:p>
        </w:tc>
        <w:tc>
          <w:tcPr>
            <w:tcW w:w="2310" w:type="dxa"/>
            <w:noWrap w:val="0"/>
            <w:vAlign w:val="center"/>
          </w:tcPr>
          <w:p>
            <w:pPr>
              <w:snapToGrid w:val="0"/>
              <w:spacing w:line="320" w:lineRule="exact"/>
              <w:jc w:val="center"/>
              <w:rPr>
                <w:sz w:val="21"/>
                <w:szCs w:val="21"/>
              </w:rPr>
            </w:pPr>
            <w:r>
              <w:rPr>
                <w:rFonts w:hint="eastAsia" w:ascii="宋体" w:hAnsi="宋体" w:cs="宋体"/>
                <w:b/>
                <w:bCs/>
                <w:color w:val="000000"/>
                <w:sz w:val="21"/>
                <w:szCs w:val="21"/>
              </w:rPr>
              <w:t>产品名称</w:t>
            </w:r>
          </w:p>
        </w:tc>
        <w:tc>
          <w:tcPr>
            <w:tcW w:w="2980" w:type="dxa"/>
            <w:noWrap w:val="0"/>
            <w:vAlign w:val="center"/>
          </w:tcPr>
          <w:p>
            <w:pPr>
              <w:snapToGrid w:val="0"/>
              <w:spacing w:line="320" w:lineRule="exact"/>
              <w:jc w:val="center"/>
              <w:rPr>
                <w:sz w:val="21"/>
                <w:szCs w:val="21"/>
              </w:rPr>
            </w:pPr>
            <w:r>
              <w:rPr>
                <w:rFonts w:hint="eastAsia" w:ascii="宋体" w:hAnsi="宋体" w:cs="宋体"/>
                <w:b/>
                <w:bCs/>
                <w:color w:val="000000"/>
                <w:sz w:val="21"/>
                <w:szCs w:val="21"/>
              </w:rPr>
              <w:t>载重、速度、层站</w:t>
            </w:r>
          </w:p>
        </w:tc>
        <w:tc>
          <w:tcPr>
            <w:tcW w:w="2462" w:type="dxa"/>
            <w:noWrap w:val="0"/>
            <w:vAlign w:val="center"/>
          </w:tcPr>
          <w:p>
            <w:pPr>
              <w:snapToGrid w:val="0"/>
              <w:spacing w:line="320" w:lineRule="exact"/>
              <w:jc w:val="center"/>
              <w:rPr>
                <w:rFonts w:hint="default" w:ascii="宋体" w:hAnsi="宋体" w:eastAsia="宋体" w:cs="宋体"/>
                <w:b/>
                <w:bCs/>
                <w:color w:val="000000"/>
                <w:sz w:val="21"/>
                <w:szCs w:val="21"/>
                <w:lang w:val="en-US" w:eastAsia="zh-CN"/>
              </w:rPr>
            </w:pPr>
            <w:r>
              <w:rPr>
                <w:rFonts w:hint="eastAsia" w:ascii="宋体" w:hAnsi="宋体" w:cs="宋体"/>
                <w:b/>
                <w:bCs/>
                <w:color w:val="000000"/>
                <w:sz w:val="21"/>
                <w:szCs w:val="21"/>
              </w:rPr>
              <w:t>电梯品牌</w:t>
            </w:r>
            <w:r>
              <w:rPr>
                <w:rFonts w:hint="eastAsia" w:ascii="宋体" w:hAnsi="宋体" w:cs="宋体"/>
                <w:b/>
                <w:bCs/>
                <w:color w:val="000000"/>
                <w:sz w:val="21"/>
                <w:szCs w:val="21"/>
                <w:lang w:val="en-US" w:eastAsia="zh-CN"/>
              </w:rPr>
              <w:t>及型号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10" w:type="dxa"/>
            <w:noWrap w:val="0"/>
            <w:vAlign w:val="center"/>
          </w:tcPr>
          <w:p>
            <w:pPr>
              <w:snapToGrid w:val="0"/>
              <w:spacing w:line="320" w:lineRule="exact"/>
              <w:jc w:val="center"/>
              <w:rPr>
                <w:sz w:val="21"/>
                <w:szCs w:val="21"/>
                <w:highlight w:val="yellow"/>
              </w:rPr>
            </w:pPr>
            <w:r>
              <w:rPr>
                <w:rFonts w:hint="eastAsia"/>
                <w:kern w:val="0"/>
                <w:sz w:val="21"/>
                <w:szCs w:val="21"/>
              </w:rPr>
              <w:t>1</w:t>
            </w:r>
          </w:p>
        </w:tc>
        <w:tc>
          <w:tcPr>
            <w:tcW w:w="2310" w:type="dxa"/>
            <w:noWrap w:val="0"/>
            <w:vAlign w:val="center"/>
          </w:tcPr>
          <w:p>
            <w:pPr>
              <w:snapToGrid w:val="0"/>
              <w:spacing w:line="320" w:lineRule="exact"/>
              <w:jc w:val="center"/>
              <w:rPr>
                <w:sz w:val="21"/>
                <w:szCs w:val="21"/>
                <w:highlight w:val="none"/>
              </w:rPr>
            </w:pPr>
            <w:r>
              <w:rPr>
                <w:rFonts w:hint="eastAsia"/>
                <w:kern w:val="0"/>
                <w:sz w:val="21"/>
                <w:szCs w:val="21"/>
                <w:highlight w:val="none"/>
              </w:rPr>
              <w:t>曳引驱动乘客电梯</w:t>
            </w:r>
          </w:p>
        </w:tc>
        <w:tc>
          <w:tcPr>
            <w:tcW w:w="2980" w:type="dxa"/>
            <w:noWrap w:val="0"/>
            <w:vAlign w:val="center"/>
          </w:tcPr>
          <w:p>
            <w:pPr>
              <w:snapToGrid w:val="0"/>
              <w:spacing w:line="320" w:lineRule="exact"/>
              <w:jc w:val="center"/>
              <w:rPr>
                <w:rFonts w:hint="eastAsia" w:eastAsia="宋体"/>
                <w:sz w:val="21"/>
                <w:szCs w:val="21"/>
                <w:highlight w:val="none"/>
                <w:lang w:eastAsia="zh-CN"/>
              </w:rPr>
            </w:pPr>
            <w:r>
              <w:rPr>
                <w:rFonts w:hint="eastAsia"/>
                <w:kern w:val="0"/>
                <w:sz w:val="21"/>
                <w:szCs w:val="21"/>
                <w:highlight w:val="none"/>
                <w:lang w:val="en-US" w:eastAsia="zh-CN"/>
              </w:rPr>
              <w:t>1000</w:t>
            </w:r>
            <w:r>
              <w:rPr>
                <w:rFonts w:hint="eastAsia"/>
                <w:kern w:val="0"/>
                <w:sz w:val="21"/>
                <w:szCs w:val="21"/>
                <w:highlight w:val="none"/>
              </w:rPr>
              <w:t xml:space="preserve">kg  1.0m/s  </w:t>
            </w:r>
            <w:r>
              <w:rPr>
                <w:rFonts w:hint="eastAsia"/>
                <w:kern w:val="0"/>
                <w:sz w:val="21"/>
                <w:szCs w:val="21"/>
                <w:highlight w:val="none"/>
                <w:lang w:val="en-US" w:eastAsia="zh-CN"/>
              </w:rPr>
              <w:t>7</w:t>
            </w:r>
            <w:r>
              <w:rPr>
                <w:rFonts w:hint="eastAsia"/>
                <w:kern w:val="0"/>
                <w:sz w:val="21"/>
                <w:szCs w:val="21"/>
                <w:highlight w:val="none"/>
              </w:rPr>
              <w:t>/</w:t>
            </w:r>
            <w:r>
              <w:rPr>
                <w:rFonts w:hint="eastAsia"/>
                <w:kern w:val="0"/>
                <w:sz w:val="21"/>
                <w:szCs w:val="21"/>
                <w:highlight w:val="none"/>
                <w:lang w:val="en-US" w:eastAsia="zh-CN"/>
              </w:rPr>
              <w:t>7</w:t>
            </w:r>
            <w:r>
              <w:rPr>
                <w:rFonts w:hint="eastAsia"/>
                <w:kern w:val="0"/>
                <w:sz w:val="21"/>
                <w:szCs w:val="21"/>
                <w:highlight w:val="none"/>
              </w:rPr>
              <w:t>/</w:t>
            </w:r>
            <w:r>
              <w:rPr>
                <w:rFonts w:hint="eastAsia"/>
                <w:kern w:val="0"/>
                <w:sz w:val="21"/>
                <w:szCs w:val="21"/>
                <w:highlight w:val="none"/>
                <w:lang w:val="en-US" w:eastAsia="zh-CN"/>
              </w:rPr>
              <w:t>7</w:t>
            </w:r>
          </w:p>
        </w:tc>
        <w:tc>
          <w:tcPr>
            <w:tcW w:w="2462" w:type="dxa"/>
            <w:noWrap w:val="0"/>
            <w:vAlign w:val="center"/>
          </w:tcPr>
          <w:p>
            <w:pPr>
              <w:snapToGrid w:val="0"/>
              <w:spacing w:line="320" w:lineRule="exact"/>
              <w:jc w:val="center"/>
              <w:rPr>
                <w:sz w:val="21"/>
                <w:szCs w:val="21"/>
                <w:highlight w:val="none"/>
              </w:rPr>
            </w:pPr>
            <w:r>
              <w:rPr>
                <w:rFonts w:hint="eastAsia"/>
                <w:kern w:val="0"/>
                <w:sz w:val="21"/>
                <w:szCs w:val="21"/>
                <w:highlight w:val="none"/>
                <w:lang w:val="en-US" w:eastAsia="zh-CN"/>
              </w:rPr>
              <w:t>蒂森克虏伯电梯TE-Evolutionl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10" w:type="dxa"/>
            <w:noWrap w:val="0"/>
            <w:vAlign w:val="center"/>
          </w:tcPr>
          <w:p>
            <w:pPr>
              <w:snapToGrid w:val="0"/>
              <w:spacing w:line="320" w:lineRule="exact"/>
              <w:jc w:val="center"/>
              <w:rPr>
                <w:sz w:val="21"/>
                <w:szCs w:val="21"/>
                <w:highlight w:val="yellow"/>
              </w:rPr>
            </w:pPr>
            <w:r>
              <w:rPr>
                <w:rFonts w:hint="eastAsia"/>
                <w:kern w:val="0"/>
                <w:sz w:val="21"/>
                <w:szCs w:val="21"/>
              </w:rPr>
              <w:t>2</w:t>
            </w:r>
          </w:p>
        </w:tc>
        <w:tc>
          <w:tcPr>
            <w:tcW w:w="2310" w:type="dxa"/>
            <w:noWrap w:val="0"/>
            <w:vAlign w:val="center"/>
          </w:tcPr>
          <w:p>
            <w:pPr>
              <w:snapToGrid w:val="0"/>
              <w:spacing w:line="320" w:lineRule="exact"/>
              <w:jc w:val="center"/>
              <w:rPr>
                <w:sz w:val="21"/>
                <w:szCs w:val="21"/>
                <w:highlight w:val="none"/>
              </w:rPr>
            </w:pPr>
            <w:r>
              <w:rPr>
                <w:rFonts w:hint="eastAsia"/>
                <w:kern w:val="0"/>
                <w:sz w:val="21"/>
                <w:szCs w:val="21"/>
                <w:highlight w:val="none"/>
              </w:rPr>
              <w:t>曳引驱动乘客电梯</w:t>
            </w:r>
          </w:p>
        </w:tc>
        <w:tc>
          <w:tcPr>
            <w:tcW w:w="2980" w:type="dxa"/>
            <w:noWrap w:val="0"/>
            <w:vAlign w:val="center"/>
          </w:tcPr>
          <w:p>
            <w:pPr>
              <w:snapToGrid w:val="0"/>
              <w:spacing w:line="320" w:lineRule="exact"/>
              <w:jc w:val="center"/>
              <w:rPr>
                <w:rFonts w:hint="eastAsia" w:eastAsia="宋体"/>
                <w:sz w:val="21"/>
                <w:szCs w:val="21"/>
                <w:highlight w:val="none"/>
                <w:lang w:eastAsia="zh-CN"/>
              </w:rPr>
            </w:pPr>
            <w:r>
              <w:rPr>
                <w:rFonts w:hint="eastAsia"/>
                <w:kern w:val="0"/>
                <w:sz w:val="21"/>
                <w:szCs w:val="21"/>
                <w:highlight w:val="none"/>
                <w:lang w:val="en-US" w:eastAsia="zh-CN"/>
              </w:rPr>
              <w:t>1000</w:t>
            </w:r>
            <w:r>
              <w:rPr>
                <w:rFonts w:hint="eastAsia"/>
                <w:kern w:val="0"/>
                <w:sz w:val="21"/>
                <w:szCs w:val="21"/>
                <w:highlight w:val="none"/>
              </w:rPr>
              <w:t xml:space="preserve">kg  1.0m/s  </w:t>
            </w:r>
            <w:r>
              <w:rPr>
                <w:rFonts w:hint="eastAsia"/>
                <w:kern w:val="0"/>
                <w:sz w:val="21"/>
                <w:szCs w:val="21"/>
                <w:highlight w:val="none"/>
                <w:lang w:val="en-US" w:eastAsia="zh-CN"/>
              </w:rPr>
              <w:t>7</w:t>
            </w:r>
            <w:r>
              <w:rPr>
                <w:rFonts w:hint="eastAsia"/>
                <w:kern w:val="0"/>
                <w:sz w:val="21"/>
                <w:szCs w:val="21"/>
                <w:highlight w:val="none"/>
              </w:rPr>
              <w:t>/</w:t>
            </w:r>
            <w:r>
              <w:rPr>
                <w:rFonts w:hint="eastAsia"/>
                <w:kern w:val="0"/>
                <w:sz w:val="21"/>
                <w:szCs w:val="21"/>
                <w:highlight w:val="none"/>
                <w:lang w:val="en-US" w:eastAsia="zh-CN"/>
              </w:rPr>
              <w:t>7</w:t>
            </w:r>
            <w:r>
              <w:rPr>
                <w:rFonts w:hint="eastAsia"/>
                <w:kern w:val="0"/>
                <w:sz w:val="21"/>
                <w:szCs w:val="21"/>
                <w:highlight w:val="none"/>
              </w:rPr>
              <w:t>/</w:t>
            </w:r>
            <w:r>
              <w:rPr>
                <w:rFonts w:hint="eastAsia"/>
                <w:kern w:val="0"/>
                <w:sz w:val="21"/>
                <w:szCs w:val="21"/>
                <w:highlight w:val="none"/>
                <w:lang w:val="en-US" w:eastAsia="zh-CN"/>
              </w:rPr>
              <w:t>7</w:t>
            </w:r>
          </w:p>
        </w:tc>
        <w:tc>
          <w:tcPr>
            <w:tcW w:w="2462" w:type="dxa"/>
            <w:noWrap w:val="0"/>
            <w:vAlign w:val="center"/>
          </w:tcPr>
          <w:p>
            <w:pPr>
              <w:snapToGrid w:val="0"/>
              <w:spacing w:line="320" w:lineRule="exact"/>
              <w:jc w:val="center"/>
              <w:rPr>
                <w:sz w:val="21"/>
                <w:szCs w:val="21"/>
                <w:highlight w:val="none"/>
              </w:rPr>
            </w:pPr>
            <w:r>
              <w:rPr>
                <w:rFonts w:hint="eastAsia"/>
                <w:sz w:val="21"/>
                <w:szCs w:val="21"/>
                <w:highlight w:val="none"/>
              </w:rPr>
              <w:t>蒂森克虏伯电梯TE-Evolutionl</w:t>
            </w:r>
          </w:p>
        </w:tc>
      </w:tr>
    </w:tbl>
    <w:p>
      <w:pPr>
        <w:keepNext w:val="0"/>
        <w:keepLines w:val="0"/>
        <w:pageBreakBefore w:val="0"/>
        <w:widowControl w:val="0"/>
        <w:kinsoku/>
        <w:wordWrap/>
        <w:overflowPunct/>
        <w:topLinePunct w:val="0"/>
        <w:autoSpaceDE/>
        <w:autoSpaceDN/>
        <w:bidi w:val="0"/>
        <w:snapToGrid w:val="0"/>
        <w:spacing w:line="440" w:lineRule="exact"/>
        <w:ind w:firstLine="482" w:firstLineChars="200"/>
        <w:textAlignment w:val="auto"/>
        <w:rPr>
          <w:rFonts w:hint="eastAsia" w:ascii="宋体" w:hAnsi="宋体" w:eastAsia="宋体" w:cs="宋体"/>
          <w:b/>
          <w:sz w:val="24"/>
          <w:szCs w:val="24"/>
        </w:rPr>
      </w:pPr>
    </w:p>
    <w:p>
      <w:pPr>
        <w:keepNext w:val="0"/>
        <w:keepLines w:val="0"/>
        <w:pageBreakBefore w:val="0"/>
        <w:widowControl w:val="0"/>
        <w:kinsoku/>
        <w:wordWrap/>
        <w:overflowPunct/>
        <w:topLinePunct w:val="0"/>
        <w:autoSpaceDE/>
        <w:autoSpaceDN/>
        <w:bidi w:val="0"/>
        <w:snapToGrid w:val="0"/>
        <w:spacing w:line="440" w:lineRule="exact"/>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rPr>
        <w:t>二、</w:t>
      </w:r>
      <w:r>
        <w:rPr>
          <w:rFonts w:hint="eastAsia" w:ascii="宋体" w:hAnsi="宋体" w:eastAsia="宋体" w:cs="宋体"/>
          <w:b/>
          <w:sz w:val="24"/>
          <w:szCs w:val="24"/>
          <w:lang w:val="en-US" w:eastAsia="zh-CN"/>
        </w:rPr>
        <w:t>电梯维保内容、方法及要求：</w:t>
      </w:r>
    </w:p>
    <w:p>
      <w:pPr>
        <w:numPr>
          <w:ilvl w:val="0"/>
          <w:numId w:val="0"/>
        </w:numPr>
        <w:spacing w:line="360" w:lineRule="auto"/>
        <w:ind w:firstLine="480" w:firstLineChars="200"/>
        <w:rPr>
          <w:sz w:val="24"/>
          <w:szCs w:val="28"/>
        </w:rPr>
      </w:pPr>
      <w:r>
        <w:rPr>
          <w:rFonts w:hint="eastAsia"/>
          <w:sz w:val="24"/>
          <w:szCs w:val="28"/>
          <w:lang w:val="en-US" w:eastAsia="zh-CN"/>
        </w:rPr>
        <w:t>1、</w:t>
      </w:r>
      <w:r>
        <w:rPr>
          <w:rFonts w:hint="eastAsia"/>
          <w:sz w:val="24"/>
          <w:szCs w:val="28"/>
        </w:rPr>
        <w:t>半月维保项目(内容)和要求</w:t>
      </w:r>
    </w:p>
    <w:tbl>
      <w:tblPr>
        <w:tblStyle w:val="5"/>
        <w:tblW w:w="0" w:type="auto"/>
        <w:tblInd w:w="4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2851"/>
        <w:gridCol w:w="4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序号</w:t>
            </w:r>
          </w:p>
        </w:tc>
        <w:tc>
          <w:tcPr>
            <w:tcW w:w="29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维保项目（内容）</w:t>
            </w:r>
          </w:p>
        </w:tc>
        <w:tc>
          <w:tcPr>
            <w:tcW w:w="45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维保基本要求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w:t>
            </w:r>
          </w:p>
        </w:tc>
        <w:tc>
          <w:tcPr>
            <w:tcW w:w="295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机房、滑轮间环境</w:t>
            </w:r>
          </w:p>
        </w:tc>
        <w:tc>
          <w:tcPr>
            <w:tcW w:w="452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清洁，门窗完好、照明正常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2</w:t>
            </w:r>
          </w:p>
        </w:tc>
        <w:tc>
          <w:tcPr>
            <w:tcW w:w="295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手动紧急操作装置</w:t>
            </w:r>
          </w:p>
        </w:tc>
        <w:tc>
          <w:tcPr>
            <w:tcW w:w="452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齐全，在指定位置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3</w:t>
            </w:r>
          </w:p>
        </w:tc>
        <w:tc>
          <w:tcPr>
            <w:tcW w:w="295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曳引机</w:t>
            </w:r>
          </w:p>
        </w:tc>
        <w:tc>
          <w:tcPr>
            <w:tcW w:w="452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运行时无异常报动和异常声响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4</w:t>
            </w:r>
          </w:p>
        </w:tc>
        <w:tc>
          <w:tcPr>
            <w:tcW w:w="295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制动器各销轴部位</w:t>
            </w:r>
          </w:p>
        </w:tc>
        <w:tc>
          <w:tcPr>
            <w:tcW w:w="452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润滑，动作灵活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5</w:t>
            </w:r>
          </w:p>
        </w:tc>
        <w:tc>
          <w:tcPr>
            <w:tcW w:w="295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制动器各间隙</w:t>
            </w:r>
          </w:p>
        </w:tc>
        <w:tc>
          <w:tcPr>
            <w:tcW w:w="452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打开时制动衬与制动轮不应发生摩擦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6</w:t>
            </w:r>
          </w:p>
        </w:tc>
        <w:tc>
          <w:tcPr>
            <w:tcW w:w="295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编码器</w:t>
            </w:r>
          </w:p>
        </w:tc>
        <w:tc>
          <w:tcPr>
            <w:tcW w:w="452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清洁， 安装牢固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7</w:t>
            </w:r>
          </w:p>
        </w:tc>
        <w:tc>
          <w:tcPr>
            <w:tcW w:w="295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限速器各销轴部位</w:t>
            </w:r>
          </w:p>
        </w:tc>
        <w:tc>
          <w:tcPr>
            <w:tcW w:w="452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润滑，转动灵活:电气开关正常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8</w:t>
            </w:r>
          </w:p>
        </w:tc>
        <w:tc>
          <w:tcPr>
            <w:tcW w:w="295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轿顶</w:t>
            </w:r>
          </w:p>
        </w:tc>
        <w:tc>
          <w:tcPr>
            <w:tcW w:w="452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清洁，防护栏安全可靠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9</w:t>
            </w:r>
          </w:p>
        </w:tc>
        <w:tc>
          <w:tcPr>
            <w:tcW w:w="295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轿顶检修开关、急停开关</w:t>
            </w:r>
          </w:p>
        </w:tc>
        <w:tc>
          <w:tcPr>
            <w:tcW w:w="452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10</w:t>
            </w:r>
          </w:p>
        </w:tc>
        <w:tc>
          <w:tcPr>
            <w:tcW w:w="295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导靴上油杯</w:t>
            </w:r>
          </w:p>
        </w:tc>
        <w:tc>
          <w:tcPr>
            <w:tcW w:w="452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吸油毛毡齐全，油量适宜，油杯无漏油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11</w:t>
            </w:r>
          </w:p>
        </w:tc>
        <w:tc>
          <w:tcPr>
            <w:tcW w:w="295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对重块及其压板</w:t>
            </w:r>
          </w:p>
        </w:tc>
        <w:tc>
          <w:tcPr>
            <w:tcW w:w="452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对重块无松动，压板紧固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12</w:t>
            </w:r>
          </w:p>
        </w:tc>
        <w:tc>
          <w:tcPr>
            <w:tcW w:w="295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井道照明</w:t>
            </w:r>
          </w:p>
        </w:tc>
        <w:tc>
          <w:tcPr>
            <w:tcW w:w="452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齐全、正常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13</w:t>
            </w:r>
          </w:p>
        </w:tc>
        <w:tc>
          <w:tcPr>
            <w:tcW w:w="295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轿厢照明、风扇、应急照明</w:t>
            </w:r>
          </w:p>
        </w:tc>
        <w:tc>
          <w:tcPr>
            <w:tcW w:w="452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14</w:t>
            </w:r>
          </w:p>
        </w:tc>
        <w:tc>
          <w:tcPr>
            <w:tcW w:w="295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轿厢检修开关、急停开关</w:t>
            </w:r>
          </w:p>
        </w:tc>
        <w:tc>
          <w:tcPr>
            <w:tcW w:w="452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15</w:t>
            </w:r>
          </w:p>
        </w:tc>
        <w:tc>
          <w:tcPr>
            <w:tcW w:w="295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轿内报警装置、 对讲系统</w:t>
            </w:r>
          </w:p>
        </w:tc>
        <w:tc>
          <w:tcPr>
            <w:tcW w:w="452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16</w:t>
            </w:r>
          </w:p>
        </w:tc>
        <w:tc>
          <w:tcPr>
            <w:tcW w:w="295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轿内显示、指令按钮</w:t>
            </w:r>
          </w:p>
        </w:tc>
        <w:tc>
          <w:tcPr>
            <w:tcW w:w="452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齐全、有效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17</w:t>
            </w:r>
          </w:p>
        </w:tc>
        <w:tc>
          <w:tcPr>
            <w:tcW w:w="295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轿门安全装置 (安全触板，光幕、光电等)</w:t>
            </w:r>
          </w:p>
        </w:tc>
        <w:tc>
          <w:tcPr>
            <w:tcW w:w="452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功能有效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18</w:t>
            </w:r>
          </w:p>
        </w:tc>
        <w:tc>
          <w:tcPr>
            <w:tcW w:w="295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轿门门锁电气触点</w:t>
            </w:r>
          </w:p>
        </w:tc>
        <w:tc>
          <w:tcPr>
            <w:tcW w:w="452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清洁，触点接触良好，接线可靠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19</w:t>
            </w:r>
          </w:p>
        </w:tc>
        <w:tc>
          <w:tcPr>
            <w:tcW w:w="295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轿门运行</w:t>
            </w:r>
          </w:p>
        </w:tc>
        <w:tc>
          <w:tcPr>
            <w:tcW w:w="452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开启和关闭工作正常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20</w:t>
            </w:r>
          </w:p>
        </w:tc>
        <w:tc>
          <w:tcPr>
            <w:tcW w:w="295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轿厢平层精度</w:t>
            </w:r>
          </w:p>
        </w:tc>
        <w:tc>
          <w:tcPr>
            <w:tcW w:w="452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符合标准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21</w:t>
            </w:r>
          </w:p>
        </w:tc>
        <w:tc>
          <w:tcPr>
            <w:tcW w:w="295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层站召唤、层楼显示</w:t>
            </w:r>
          </w:p>
        </w:tc>
        <w:tc>
          <w:tcPr>
            <w:tcW w:w="452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齐全、有效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22</w:t>
            </w:r>
          </w:p>
        </w:tc>
        <w:tc>
          <w:tcPr>
            <w:tcW w:w="295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层门地坎</w:t>
            </w:r>
          </w:p>
        </w:tc>
        <w:tc>
          <w:tcPr>
            <w:tcW w:w="452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23</w:t>
            </w:r>
          </w:p>
        </w:tc>
        <w:tc>
          <w:tcPr>
            <w:tcW w:w="295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层门自动关门装置</w:t>
            </w:r>
          </w:p>
        </w:tc>
        <w:tc>
          <w:tcPr>
            <w:tcW w:w="452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24</w:t>
            </w:r>
          </w:p>
        </w:tc>
        <w:tc>
          <w:tcPr>
            <w:tcW w:w="295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层门门锁自动复位</w:t>
            </w:r>
          </w:p>
        </w:tc>
        <w:tc>
          <w:tcPr>
            <w:tcW w:w="452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用层门钥匙打开手动开锁装置释放后，层门门锁能自动复位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25</w:t>
            </w:r>
          </w:p>
        </w:tc>
        <w:tc>
          <w:tcPr>
            <w:tcW w:w="295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层门门锁电气触点</w:t>
            </w:r>
          </w:p>
        </w:tc>
        <w:tc>
          <w:tcPr>
            <w:tcW w:w="452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清洁， 触点接触良好， 接线可靠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26</w:t>
            </w:r>
          </w:p>
        </w:tc>
        <w:tc>
          <w:tcPr>
            <w:tcW w:w="295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层门锁紧元件睛合长度</w:t>
            </w:r>
          </w:p>
        </w:tc>
        <w:tc>
          <w:tcPr>
            <w:tcW w:w="452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不小于7mm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27</w:t>
            </w:r>
          </w:p>
        </w:tc>
        <w:tc>
          <w:tcPr>
            <w:tcW w:w="295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底坑环境</w:t>
            </w:r>
          </w:p>
        </w:tc>
        <w:tc>
          <w:tcPr>
            <w:tcW w:w="452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清洁，无渗水、积水，照明正常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28</w:t>
            </w:r>
          </w:p>
        </w:tc>
        <w:tc>
          <w:tcPr>
            <w:tcW w:w="295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底坑急停开关</w:t>
            </w:r>
          </w:p>
        </w:tc>
        <w:tc>
          <w:tcPr>
            <w:tcW w:w="452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工作正常</w:t>
            </w:r>
          </w:p>
        </w:tc>
      </w:tr>
    </w:tbl>
    <w:p>
      <w:pPr>
        <w:numPr>
          <w:ilvl w:val="0"/>
          <w:numId w:val="0"/>
        </w:numPr>
        <w:spacing w:line="360" w:lineRule="auto"/>
        <w:ind w:firstLine="480" w:firstLineChars="200"/>
        <w:rPr>
          <w:rFonts w:ascii="宋体" w:hAnsi="宋体" w:eastAsia="宋体" w:cs="宋体"/>
          <w:sz w:val="24"/>
          <w:szCs w:val="28"/>
        </w:rPr>
      </w:pPr>
      <w:r>
        <w:rPr>
          <w:rFonts w:hint="eastAsia" w:ascii="宋体" w:hAnsi="宋体" w:eastAsia="宋体" w:cs="宋体"/>
          <w:sz w:val="24"/>
          <w:szCs w:val="28"/>
          <w:lang w:val="en-US" w:eastAsia="zh-CN"/>
        </w:rPr>
        <w:t>2、</w:t>
      </w:r>
      <w:r>
        <w:rPr>
          <w:rFonts w:hint="eastAsia" w:ascii="宋体" w:hAnsi="宋体" w:eastAsia="宋体" w:cs="宋体"/>
          <w:sz w:val="24"/>
          <w:szCs w:val="28"/>
        </w:rPr>
        <w:t>季度维保项目(内容)和要求</w:t>
      </w:r>
    </w:p>
    <w:tbl>
      <w:tblPr>
        <w:tblStyle w:val="5"/>
        <w:tblW w:w="0" w:type="auto"/>
        <w:tblInd w:w="5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2879"/>
        <w:gridCol w:w="4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序号</w:t>
            </w:r>
          </w:p>
        </w:tc>
        <w:tc>
          <w:tcPr>
            <w:tcW w:w="2976"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维保项目（内容）</w:t>
            </w:r>
          </w:p>
        </w:tc>
        <w:tc>
          <w:tcPr>
            <w:tcW w:w="4494"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维保基本要求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w:t>
            </w:r>
          </w:p>
        </w:tc>
        <w:tc>
          <w:tcPr>
            <w:tcW w:w="2976"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减速机润滑油</w:t>
            </w:r>
          </w:p>
        </w:tc>
        <w:tc>
          <w:tcPr>
            <w:tcW w:w="4494"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油量适宜，除蜗杆伸出端外均无渗漏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2</w:t>
            </w:r>
          </w:p>
        </w:tc>
        <w:tc>
          <w:tcPr>
            <w:tcW w:w="2976"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制动村</w:t>
            </w:r>
          </w:p>
        </w:tc>
        <w:tc>
          <w:tcPr>
            <w:tcW w:w="4494"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清洁，磨损量不超过制造单位要求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3</w:t>
            </w:r>
          </w:p>
        </w:tc>
        <w:tc>
          <w:tcPr>
            <w:tcW w:w="2976"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位置脉冲发生器</w:t>
            </w:r>
          </w:p>
        </w:tc>
        <w:tc>
          <w:tcPr>
            <w:tcW w:w="4494"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4</w:t>
            </w:r>
          </w:p>
        </w:tc>
        <w:tc>
          <w:tcPr>
            <w:tcW w:w="2976"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选层器动静触点</w:t>
            </w:r>
          </w:p>
        </w:tc>
        <w:tc>
          <w:tcPr>
            <w:tcW w:w="4494"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清洁，无烧蚀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5</w:t>
            </w:r>
          </w:p>
        </w:tc>
        <w:tc>
          <w:tcPr>
            <w:tcW w:w="2976"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曳引轮槽、 曳引钢丝绳</w:t>
            </w:r>
          </w:p>
        </w:tc>
        <w:tc>
          <w:tcPr>
            <w:tcW w:w="4494"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清洁，无严重油腻，引力均匀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5</w:t>
            </w:r>
          </w:p>
        </w:tc>
        <w:tc>
          <w:tcPr>
            <w:tcW w:w="2976"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限速器轮槽、限速器钢丝绳</w:t>
            </w:r>
          </w:p>
        </w:tc>
        <w:tc>
          <w:tcPr>
            <w:tcW w:w="4494"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清洁, 无严重油腻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7</w:t>
            </w:r>
          </w:p>
        </w:tc>
        <w:tc>
          <w:tcPr>
            <w:tcW w:w="2976"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靴村、滚轮</w:t>
            </w:r>
          </w:p>
        </w:tc>
        <w:tc>
          <w:tcPr>
            <w:tcW w:w="4494"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清洁，磨损量不超过制造单位要求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8</w:t>
            </w:r>
          </w:p>
        </w:tc>
        <w:tc>
          <w:tcPr>
            <w:tcW w:w="2976"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验证轿门关闭的电气安全装置</w:t>
            </w:r>
          </w:p>
        </w:tc>
        <w:tc>
          <w:tcPr>
            <w:tcW w:w="4494"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9</w:t>
            </w:r>
          </w:p>
        </w:tc>
        <w:tc>
          <w:tcPr>
            <w:tcW w:w="2976"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层门、轿门系统中传动钢丝绳、链条、胶带</w:t>
            </w:r>
          </w:p>
        </w:tc>
        <w:tc>
          <w:tcPr>
            <w:tcW w:w="4494"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按照制造单位要求进行清洁、调整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10</w:t>
            </w:r>
          </w:p>
        </w:tc>
        <w:tc>
          <w:tcPr>
            <w:tcW w:w="2976"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层门门导靴</w:t>
            </w:r>
          </w:p>
        </w:tc>
        <w:tc>
          <w:tcPr>
            <w:tcW w:w="4494"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磨损量不超过制造单位要求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11</w:t>
            </w:r>
          </w:p>
        </w:tc>
        <w:tc>
          <w:tcPr>
            <w:tcW w:w="2976"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消防开关</w:t>
            </w:r>
          </w:p>
        </w:tc>
        <w:tc>
          <w:tcPr>
            <w:tcW w:w="4494"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工作正常，功能有效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12</w:t>
            </w:r>
          </w:p>
        </w:tc>
        <w:tc>
          <w:tcPr>
            <w:tcW w:w="2976"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耗能缓冲器</w:t>
            </w:r>
          </w:p>
        </w:tc>
        <w:tc>
          <w:tcPr>
            <w:tcW w:w="4494"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电气安全装置功能有效，油量适宜，柱塞无锈蚀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13</w:t>
            </w:r>
          </w:p>
        </w:tc>
        <w:tc>
          <w:tcPr>
            <w:tcW w:w="2976"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限速器张紧轮装置和电气安全装</w:t>
            </w:r>
          </w:p>
        </w:tc>
        <w:tc>
          <w:tcPr>
            <w:tcW w:w="4494"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工作正常</w:t>
            </w:r>
          </w:p>
        </w:tc>
      </w:tr>
    </w:tbl>
    <w:p/>
    <w:p>
      <w:pPr>
        <w:numPr>
          <w:ilvl w:val="0"/>
          <w:numId w:val="0"/>
        </w:numPr>
        <w:spacing w:line="360" w:lineRule="auto"/>
        <w:ind w:firstLine="480" w:firstLineChars="200"/>
        <w:rPr>
          <w:sz w:val="24"/>
          <w:szCs w:val="28"/>
        </w:rPr>
      </w:pPr>
      <w:r>
        <w:rPr>
          <w:rFonts w:hint="eastAsia"/>
          <w:sz w:val="24"/>
          <w:szCs w:val="28"/>
          <w:lang w:val="en-US" w:eastAsia="zh-CN"/>
        </w:rPr>
        <w:t>3、</w:t>
      </w:r>
      <w:r>
        <w:rPr>
          <w:sz w:val="24"/>
          <w:szCs w:val="28"/>
        </w:rPr>
        <w:t>半年维保项目(内容)和要求</w:t>
      </w:r>
    </w:p>
    <w:tbl>
      <w:tblPr>
        <w:tblStyle w:val="5"/>
        <w:tblW w:w="0" w:type="auto"/>
        <w:tblInd w:w="5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2887"/>
        <w:gridCol w:w="4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3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序号</w:t>
            </w:r>
          </w:p>
        </w:tc>
        <w:tc>
          <w:tcPr>
            <w:tcW w:w="2981"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维保项目(内容)</w:t>
            </w:r>
          </w:p>
        </w:tc>
        <w:tc>
          <w:tcPr>
            <w:tcW w:w="4469"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维保基本要求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w:t>
            </w:r>
          </w:p>
        </w:tc>
        <w:tc>
          <w:tcPr>
            <w:tcW w:w="2981"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电动机与减速机联轴器螺栓</w:t>
            </w:r>
          </w:p>
        </w:tc>
        <w:tc>
          <w:tcPr>
            <w:tcW w:w="4469"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无松动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2</w:t>
            </w:r>
          </w:p>
        </w:tc>
        <w:tc>
          <w:tcPr>
            <w:tcW w:w="2981"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曳引轮、 导向轮轴承部</w:t>
            </w:r>
          </w:p>
        </w:tc>
        <w:tc>
          <w:tcPr>
            <w:tcW w:w="4469"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无异常声，无振动，润滑良好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3</w:t>
            </w:r>
          </w:p>
        </w:tc>
        <w:tc>
          <w:tcPr>
            <w:tcW w:w="2981"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曳引轮槽</w:t>
            </w:r>
          </w:p>
        </w:tc>
        <w:tc>
          <w:tcPr>
            <w:tcW w:w="4469"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磨损量不超过制造单位要求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4</w:t>
            </w:r>
          </w:p>
        </w:tc>
        <w:tc>
          <w:tcPr>
            <w:tcW w:w="2981"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制动器上检测开关</w:t>
            </w:r>
          </w:p>
        </w:tc>
        <w:tc>
          <w:tcPr>
            <w:tcW w:w="4469"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工作正常，制动器动作可靠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5</w:t>
            </w:r>
          </w:p>
        </w:tc>
        <w:tc>
          <w:tcPr>
            <w:tcW w:w="2981"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控制柜内各接线端子</w:t>
            </w:r>
          </w:p>
        </w:tc>
        <w:tc>
          <w:tcPr>
            <w:tcW w:w="4469"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各接线紧固、整齐，线号齐全清晰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6</w:t>
            </w:r>
          </w:p>
        </w:tc>
        <w:tc>
          <w:tcPr>
            <w:tcW w:w="2981"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控制柜各仪表</w:t>
            </w:r>
          </w:p>
        </w:tc>
        <w:tc>
          <w:tcPr>
            <w:tcW w:w="4469"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显示正确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7</w:t>
            </w:r>
          </w:p>
        </w:tc>
        <w:tc>
          <w:tcPr>
            <w:tcW w:w="2981"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井道、对重、轿顶各反绳轮轴承</w:t>
            </w:r>
          </w:p>
        </w:tc>
        <w:tc>
          <w:tcPr>
            <w:tcW w:w="4469"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无异常声，无振动，润滑良好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8</w:t>
            </w:r>
          </w:p>
        </w:tc>
        <w:tc>
          <w:tcPr>
            <w:tcW w:w="2981"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曳引绳、 补偿绳</w:t>
            </w:r>
          </w:p>
        </w:tc>
        <w:tc>
          <w:tcPr>
            <w:tcW w:w="4469"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磨损量、断丝数不超过要求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9</w:t>
            </w:r>
          </w:p>
        </w:tc>
        <w:tc>
          <w:tcPr>
            <w:tcW w:w="2981"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曳引绳绳头组合</w:t>
            </w:r>
          </w:p>
        </w:tc>
        <w:tc>
          <w:tcPr>
            <w:tcW w:w="4469"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螺母无松动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10</w:t>
            </w:r>
          </w:p>
        </w:tc>
        <w:tc>
          <w:tcPr>
            <w:tcW w:w="2981"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限速器钢丝绳</w:t>
            </w:r>
          </w:p>
        </w:tc>
        <w:tc>
          <w:tcPr>
            <w:tcW w:w="4469"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磨损量、断丝数不超过制造单位要求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11</w:t>
            </w:r>
          </w:p>
        </w:tc>
        <w:tc>
          <w:tcPr>
            <w:tcW w:w="2981"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层门、轿门门扇</w:t>
            </w:r>
          </w:p>
        </w:tc>
        <w:tc>
          <w:tcPr>
            <w:tcW w:w="4469"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门扇各相关间服符合标准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12</w:t>
            </w:r>
          </w:p>
        </w:tc>
        <w:tc>
          <w:tcPr>
            <w:tcW w:w="2981"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对重缓冲距</w:t>
            </w:r>
          </w:p>
        </w:tc>
        <w:tc>
          <w:tcPr>
            <w:tcW w:w="4469"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符合标准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13</w:t>
            </w:r>
          </w:p>
        </w:tc>
        <w:tc>
          <w:tcPr>
            <w:tcW w:w="2981"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补偿链(绳)与轿厢、对重接合处</w:t>
            </w:r>
          </w:p>
        </w:tc>
        <w:tc>
          <w:tcPr>
            <w:tcW w:w="4469"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固定、无松动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14</w:t>
            </w:r>
          </w:p>
        </w:tc>
        <w:tc>
          <w:tcPr>
            <w:tcW w:w="2981"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上下极限开关</w:t>
            </w:r>
          </w:p>
        </w:tc>
        <w:tc>
          <w:tcPr>
            <w:tcW w:w="4469"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工作正常</w:t>
            </w:r>
          </w:p>
        </w:tc>
      </w:tr>
    </w:tbl>
    <w:p>
      <w:pPr>
        <w:spacing w:line="360" w:lineRule="auto"/>
        <w:ind w:firstLine="210" w:firstLineChars="100"/>
      </w:pPr>
      <w:r>
        <w:rPr>
          <w:rFonts w:hint="eastAsia"/>
        </w:rPr>
        <w:t>4、</w:t>
      </w:r>
      <w:r>
        <w:rPr>
          <w:sz w:val="24"/>
          <w:szCs w:val="28"/>
        </w:rPr>
        <w:t>年度维保项目(内容)和要求</w:t>
      </w:r>
    </w:p>
    <w:tbl>
      <w:tblPr>
        <w:tblStyle w:val="5"/>
        <w:tblW w:w="0" w:type="auto"/>
        <w:tblInd w:w="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2902"/>
        <w:gridCol w:w="4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序号</w:t>
            </w:r>
          </w:p>
        </w:tc>
        <w:tc>
          <w:tcPr>
            <w:tcW w:w="300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维保项目(内容)</w:t>
            </w:r>
          </w:p>
        </w:tc>
        <w:tc>
          <w:tcPr>
            <w:tcW w:w="448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维保基本要求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w:t>
            </w:r>
          </w:p>
        </w:tc>
        <w:tc>
          <w:tcPr>
            <w:tcW w:w="300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减速机润滑油</w:t>
            </w:r>
          </w:p>
        </w:tc>
        <w:tc>
          <w:tcPr>
            <w:tcW w:w="448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按照制造单位要求适时更换，保证油质符合要求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2</w:t>
            </w:r>
          </w:p>
        </w:tc>
        <w:tc>
          <w:tcPr>
            <w:tcW w:w="300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控制柜接触器，维电器触点</w:t>
            </w:r>
          </w:p>
        </w:tc>
        <w:tc>
          <w:tcPr>
            <w:tcW w:w="448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接触良好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3</w:t>
            </w:r>
          </w:p>
        </w:tc>
        <w:tc>
          <w:tcPr>
            <w:tcW w:w="300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制动器铁芯(柱塞)</w:t>
            </w:r>
          </w:p>
        </w:tc>
        <w:tc>
          <w:tcPr>
            <w:tcW w:w="448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进行清洁、润滑、检查，磨损量不超过制造单位要求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4</w:t>
            </w:r>
          </w:p>
        </w:tc>
        <w:tc>
          <w:tcPr>
            <w:tcW w:w="300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制动器制动弹簧压缩量</w:t>
            </w:r>
          </w:p>
        </w:tc>
        <w:tc>
          <w:tcPr>
            <w:tcW w:w="448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符合制造单位要求，保持有足够的制动力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5</w:t>
            </w:r>
          </w:p>
        </w:tc>
        <w:tc>
          <w:tcPr>
            <w:tcW w:w="300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导电回路绝缘性能测试</w:t>
            </w:r>
          </w:p>
        </w:tc>
        <w:tc>
          <w:tcPr>
            <w:tcW w:w="448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符合标准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6</w:t>
            </w:r>
          </w:p>
        </w:tc>
        <w:tc>
          <w:tcPr>
            <w:tcW w:w="300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限速器安全钳联动试验(每2年进行一次限速器动作速度校验)</w:t>
            </w:r>
          </w:p>
        </w:tc>
        <w:tc>
          <w:tcPr>
            <w:tcW w:w="448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7</w:t>
            </w:r>
          </w:p>
        </w:tc>
        <w:tc>
          <w:tcPr>
            <w:tcW w:w="300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上行超速保护装置动作试验</w:t>
            </w:r>
          </w:p>
        </w:tc>
        <w:tc>
          <w:tcPr>
            <w:tcW w:w="448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8</w:t>
            </w:r>
          </w:p>
        </w:tc>
        <w:tc>
          <w:tcPr>
            <w:tcW w:w="300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轿顶、轿厢架、轿门及其附件安装螺栓</w:t>
            </w:r>
          </w:p>
        </w:tc>
        <w:tc>
          <w:tcPr>
            <w:tcW w:w="448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紧固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9</w:t>
            </w:r>
          </w:p>
        </w:tc>
        <w:tc>
          <w:tcPr>
            <w:tcW w:w="300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轿厢和对重侧的导轨支架</w:t>
            </w:r>
          </w:p>
        </w:tc>
        <w:tc>
          <w:tcPr>
            <w:tcW w:w="448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固定，无松动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10</w:t>
            </w:r>
          </w:p>
        </w:tc>
        <w:tc>
          <w:tcPr>
            <w:tcW w:w="300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轿厢和对重的导轨</w:t>
            </w:r>
          </w:p>
        </w:tc>
        <w:tc>
          <w:tcPr>
            <w:tcW w:w="448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清洁，压板牢固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11</w:t>
            </w:r>
          </w:p>
        </w:tc>
        <w:tc>
          <w:tcPr>
            <w:tcW w:w="300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随行电缆</w:t>
            </w:r>
          </w:p>
        </w:tc>
        <w:tc>
          <w:tcPr>
            <w:tcW w:w="448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无损伤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12</w:t>
            </w:r>
          </w:p>
        </w:tc>
        <w:tc>
          <w:tcPr>
            <w:tcW w:w="300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层门装置和地坎</w:t>
            </w:r>
          </w:p>
        </w:tc>
        <w:tc>
          <w:tcPr>
            <w:tcW w:w="448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无影响正常使用的变形，各安装螺丝紧固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13</w:t>
            </w:r>
          </w:p>
        </w:tc>
        <w:tc>
          <w:tcPr>
            <w:tcW w:w="300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轿厢称重装置</w:t>
            </w:r>
          </w:p>
        </w:tc>
        <w:tc>
          <w:tcPr>
            <w:tcW w:w="448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准确有效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14</w:t>
            </w:r>
          </w:p>
        </w:tc>
        <w:tc>
          <w:tcPr>
            <w:tcW w:w="300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安全钳钳座</w:t>
            </w:r>
          </w:p>
        </w:tc>
        <w:tc>
          <w:tcPr>
            <w:tcW w:w="448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固定，无松动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15</w:t>
            </w:r>
          </w:p>
        </w:tc>
        <w:tc>
          <w:tcPr>
            <w:tcW w:w="300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轿庭各安装螺栓</w:t>
            </w:r>
          </w:p>
        </w:tc>
        <w:tc>
          <w:tcPr>
            <w:tcW w:w="448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紧固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16</w:t>
            </w:r>
          </w:p>
        </w:tc>
        <w:tc>
          <w:tcPr>
            <w:tcW w:w="300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缓冲器</w:t>
            </w:r>
          </w:p>
        </w:tc>
        <w:tc>
          <w:tcPr>
            <w:tcW w:w="448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固定，无松动</w:t>
            </w:r>
          </w:p>
        </w:tc>
      </w:tr>
    </w:tbl>
    <w:p>
      <w:pPr>
        <w:keepNext w:val="0"/>
        <w:keepLines w:val="0"/>
        <w:pageBreakBefore w:val="0"/>
        <w:widowControl w:val="0"/>
        <w:kinsoku/>
        <w:wordWrap/>
        <w:overflowPunct/>
        <w:topLinePunct w:val="0"/>
        <w:autoSpaceDE/>
        <w:autoSpaceDN/>
        <w:bidi w:val="0"/>
        <w:snapToGrid w:val="0"/>
        <w:spacing w:line="440" w:lineRule="exact"/>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三、采购服务要求</w:t>
      </w:r>
    </w:p>
    <w:p>
      <w:pPr>
        <w:pStyle w:val="2"/>
        <w:keepNext w:val="0"/>
        <w:keepLines w:val="0"/>
        <w:pageBreakBefore w:val="0"/>
        <w:widowControl w:val="0"/>
        <w:kinsoku/>
        <w:wordWrap/>
        <w:overflowPunct/>
        <w:topLinePunct w:val="0"/>
        <w:autoSpaceDE/>
        <w:autoSpaceDN/>
        <w:bidi w:val="0"/>
        <w:spacing w:after="0"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1、服务期：1年，</w:t>
      </w:r>
      <w:r>
        <w:rPr>
          <w:rStyle w:val="19"/>
          <w:rFonts w:hint="eastAsia" w:ascii="宋体" w:hAnsi="宋体" w:eastAsia="宋体" w:cs="宋体"/>
          <w:b w:val="0"/>
          <w:bCs w:val="0"/>
          <w:color w:val="auto"/>
          <w:kern w:val="0"/>
          <w:sz w:val="24"/>
          <w:szCs w:val="24"/>
          <w:highlight w:val="none"/>
          <w:lang w:val="en-US" w:eastAsia="zh-CN"/>
        </w:rPr>
        <w:t>自合同签订之日起计算</w:t>
      </w:r>
      <w:r>
        <w:rPr>
          <w:rFonts w:hint="eastAsia" w:ascii="宋体" w:hAnsi="宋体" w:eastAsia="宋体" w:cs="宋体"/>
          <w:sz w:val="24"/>
          <w:szCs w:val="24"/>
          <w:lang w:val="en-US" w:eastAsia="zh-CN"/>
        </w:rPr>
        <w:t>。</w:t>
      </w:r>
    </w:p>
    <w:p>
      <w:pPr>
        <w:pStyle w:val="2"/>
        <w:keepNext w:val="0"/>
        <w:keepLines w:val="0"/>
        <w:pageBreakBefore w:val="0"/>
        <w:widowControl w:val="0"/>
        <w:kinsoku/>
        <w:wordWrap/>
        <w:overflowPunct/>
        <w:topLinePunct w:val="0"/>
        <w:autoSpaceDE/>
        <w:autoSpaceDN/>
        <w:bidi w:val="0"/>
        <w:spacing w:after="0" w:line="44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w:t>
      </w:r>
      <w:r>
        <w:rPr>
          <w:rFonts w:hint="eastAsia"/>
          <w:b/>
          <w:bCs/>
        </w:rPr>
        <w:t>本项目预算为一年度的预算，根据采购结果，采取一次招标</w:t>
      </w:r>
      <w:r>
        <w:rPr>
          <w:rFonts w:hint="eastAsia"/>
          <w:b/>
          <w:bCs/>
          <w:lang w:val="en-US" w:eastAsia="zh-CN"/>
        </w:rPr>
        <w:t>三</w:t>
      </w:r>
      <w:r>
        <w:rPr>
          <w:rFonts w:hint="eastAsia"/>
          <w:b/>
          <w:bCs/>
        </w:rPr>
        <w:t>年沿用。一年合同期满后，采购人未获得预算批复或因政策变化采购需求取消，则经采购人书面通知供应商后，合同到期终止不再续签，或受不可抗力的影响，次年预算压减，采购人也将根据新的预算重新采购，供应商自行承担相应风险。服务期自合同签订之日起一年，实行一年一考核一续签合同的办法，采购人有权单方决定是否续签后一年度合同，除政策性调整(如最低工资等)外，合同金额不作改变。如果成交供应商没有达到合同所要求履行条件之一的，则采购人有权在委托期限内随时终止合同。</w:t>
      </w:r>
    </w:p>
    <w:p>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Times New Roman"/>
          <w:color w:val="000000"/>
          <w:sz w:val="24"/>
          <w:lang w:eastAsia="zh-CN"/>
        </w:rPr>
      </w:pPr>
      <w:r>
        <w:rPr>
          <w:rFonts w:hint="eastAsia" w:ascii="宋体" w:hAnsi="宋体" w:eastAsia="宋体" w:cs="宋体"/>
          <w:b w:val="0"/>
          <w:bCs/>
          <w:sz w:val="24"/>
          <w:szCs w:val="24"/>
          <w:lang w:val="en-US" w:eastAsia="zh-CN"/>
        </w:rPr>
        <w:t>3、服务地点：启东市党风廉政建设教育中心</w:t>
      </w:r>
      <w:r>
        <w:rPr>
          <w:rFonts w:hint="eastAsia" w:ascii="宋体" w:hAnsi="宋体" w:eastAsia="宋体" w:cs="Times New Roman"/>
          <w:color w:val="000000"/>
          <w:sz w:val="24"/>
          <w:lang w:eastAsia="zh-CN"/>
        </w:rPr>
        <w:t>。</w:t>
      </w:r>
    </w:p>
    <w:p>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default"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4、质量要求：维保质量应符合国家法律法规和地方标准要求，并符合特种设备安全技术规范【电梯使用管理与维护保养规则（TSG T5001-2009）】和江苏省地方标准。</w:t>
      </w:r>
    </w:p>
    <w:p>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其他约定事项：</w:t>
      </w:r>
    </w:p>
    <w:p>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（1）因本项目涉及高空作业，存在相当大的安全风险，成交供应商必须考虑各种安全因素，如发生</w:t>
      </w:r>
      <w:r>
        <w:rPr>
          <w:rFonts w:hint="eastAsia" w:ascii="宋体" w:hAnsi="宋体" w:eastAsia="宋体" w:cs="宋体"/>
          <w:sz w:val="24"/>
          <w:szCs w:val="24"/>
          <w:lang w:val="en-US" w:eastAsia="zh-CN"/>
        </w:rPr>
        <w:t>任何安全</w:t>
      </w:r>
      <w:r>
        <w:rPr>
          <w:rFonts w:hint="eastAsia" w:ascii="宋体" w:hAnsi="宋体" w:eastAsia="宋体" w:cs="宋体"/>
          <w:sz w:val="24"/>
          <w:szCs w:val="24"/>
        </w:rPr>
        <w:t>事故，</w:t>
      </w:r>
      <w:r>
        <w:rPr>
          <w:rFonts w:hint="eastAsia" w:ascii="宋体" w:hAnsi="宋体" w:eastAsia="宋体" w:cs="宋体"/>
          <w:sz w:val="24"/>
          <w:szCs w:val="24"/>
          <w:lang w:val="en-US" w:eastAsia="zh-CN"/>
        </w:rPr>
        <w:t>由成交供应商自行负责，招标人</w:t>
      </w:r>
      <w:r>
        <w:rPr>
          <w:rFonts w:hint="eastAsia" w:ascii="宋体" w:hAnsi="宋体" w:eastAsia="宋体" w:cs="宋体"/>
          <w:sz w:val="24"/>
          <w:szCs w:val="24"/>
        </w:rPr>
        <w:t>一律</w:t>
      </w:r>
      <w:r>
        <w:rPr>
          <w:rFonts w:hint="eastAsia" w:ascii="宋体" w:hAnsi="宋体" w:eastAsia="宋体" w:cs="宋体"/>
          <w:sz w:val="24"/>
          <w:szCs w:val="24"/>
          <w:lang w:val="en-US" w:eastAsia="zh-CN"/>
        </w:rPr>
        <w:t>不予</w:t>
      </w:r>
      <w:r>
        <w:rPr>
          <w:rFonts w:hint="eastAsia" w:ascii="宋体" w:hAnsi="宋体" w:eastAsia="宋体" w:cs="宋体"/>
          <w:sz w:val="24"/>
          <w:szCs w:val="24"/>
        </w:rPr>
        <w:t>赔偿。</w:t>
      </w:r>
    </w:p>
    <w:p>
      <w:pPr>
        <w:keepNext w:val="0"/>
        <w:keepLines w:val="0"/>
        <w:pageBreakBefore w:val="0"/>
        <w:widowControl w:val="0"/>
        <w:kinsoku/>
        <w:wordWrap/>
        <w:overflowPunct/>
        <w:topLinePunct w:val="0"/>
        <w:autoSpaceDE/>
        <w:autoSpaceDN/>
        <w:bidi w:val="0"/>
        <w:snapToGrid w:val="0"/>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四、</w:t>
      </w:r>
      <w:r>
        <w:rPr>
          <w:rFonts w:hint="eastAsia" w:ascii="宋体" w:hAnsi="宋体" w:eastAsia="宋体" w:cs="宋体"/>
          <w:b/>
          <w:sz w:val="24"/>
          <w:szCs w:val="24"/>
        </w:rPr>
        <w:t>投标报价要求</w:t>
      </w:r>
    </w:p>
    <w:p>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1.供应商应仔细阅读谈判文件的所有内容，按谈判文件的要求提供谈判响应文件，并保证所提供的全部资料的真实性，以使其投标对谈判文件作出实质性响应。</w:t>
      </w:r>
    </w:p>
    <w:p>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Style w:val="19"/>
          <w:rFonts w:hint="eastAsia" w:ascii="宋体" w:hAnsi="宋体" w:eastAsia="宋体" w:cs="宋体"/>
          <w:b/>
          <w:bCs/>
          <w:color w:val="auto"/>
          <w:kern w:val="0"/>
          <w:sz w:val="24"/>
          <w:szCs w:val="24"/>
          <w:highlight w:val="none"/>
          <w:lang w:val="en-US" w:eastAsia="zh-CN"/>
        </w:rPr>
        <w:t>本项目为电梯维保全包项目，在维保期内电梯所有的零部件损坏导致的维修、更换所产生的费用均由维保单位承担</w:t>
      </w:r>
      <w:r>
        <w:rPr>
          <w:rStyle w:val="19"/>
          <w:rFonts w:hint="eastAsia" w:ascii="宋体" w:hAnsi="宋体" w:eastAsia="宋体" w:cs="宋体"/>
          <w:b w:val="0"/>
          <w:bCs w:val="0"/>
          <w:color w:val="auto"/>
          <w:kern w:val="0"/>
          <w:sz w:val="24"/>
          <w:szCs w:val="24"/>
          <w:highlight w:val="none"/>
          <w:lang w:val="en-US" w:eastAsia="zh-CN"/>
        </w:rPr>
        <w:t>。本项目采用固定总价合同，包括但不仅限于：相关附件、货物运输、安装、安全、保险、调试、税金、质保、售后服务等招标范围内的全部内容，及</w:t>
      </w:r>
      <w:r>
        <w:rPr>
          <w:rStyle w:val="19"/>
          <w:rFonts w:hint="eastAsia" w:ascii="宋体" w:hAnsi="宋体" w:eastAsia="宋体" w:cs="宋体"/>
          <w:b/>
          <w:bCs/>
          <w:color w:val="auto"/>
          <w:kern w:val="0"/>
          <w:sz w:val="24"/>
          <w:szCs w:val="24"/>
          <w:highlight w:val="none"/>
          <w:lang w:val="en-US" w:eastAsia="zh-CN"/>
        </w:rPr>
        <w:t>专家评审费、招标代理费（1000元）</w:t>
      </w:r>
      <w:r>
        <w:rPr>
          <w:rStyle w:val="19"/>
          <w:rFonts w:hint="eastAsia" w:ascii="宋体" w:hAnsi="宋体" w:eastAsia="宋体" w:cs="宋体"/>
          <w:b w:val="0"/>
          <w:bCs w:val="0"/>
          <w:color w:val="auto"/>
          <w:kern w:val="0"/>
          <w:sz w:val="24"/>
          <w:szCs w:val="24"/>
          <w:highlight w:val="none"/>
          <w:lang w:val="en-US" w:eastAsia="zh-CN"/>
        </w:rPr>
        <w:t>及为履行合同产生的其它费用。在合同实施期间，合同价不随国家政策或法规、标准及市场因素的变化而进行调整，也不因实际服务周期的延长或缩短而调整。请各供应商在报价时请充分考虑各种因素。</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GB"/>
        </w:rPr>
      </w:pPr>
      <w:r>
        <w:rPr>
          <w:rFonts w:hint="eastAsia" w:ascii="宋体" w:hAnsi="宋体" w:eastAsia="宋体" w:cs="宋体"/>
          <w:sz w:val="24"/>
          <w:szCs w:val="24"/>
        </w:rPr>
        <w:t>3.</w:t>
      </w:r>
      <w:r>
        <w:rPr>
          <w:rFonts w:hint="eastAsia" w:ascii="宋体" w:hAnsi="宋体" w:eastAsia="宋体" w:cs="宋体"/>
          <w:sz w:val="24"/>
          <w:szCs w:val="24"/>
          <w:lang w:val="en-GB"/>
        </w:rPr>
        <w:t>投标供应商应对招标文件内所要采购的全部内容进行报价，只投其中部分内容者，其投标书将被拒绝。</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4</w:t>
      </w:r>
      <w:r>
        <w:rPr>
          <w:rFonts w:hint="eastAsia" w:ascii="宋体" w:hAnsi="宋体" w:eastAsia="宋体" w:cs="宋体"/>
          <w:spacing w:val="-11"/>
          <w:sz w:val="24"/>
          <w:szCs w:val="24"/>
          <w:lang w:val="en-US" w:eastAsia="zh-CN"/>
        </w:rPr>
        <w:t>.</w:t>
      </w:r>
      <w:r>
        <w:rPr>
          <w:rFonts w:hint="eastAsia" w:ascii="宋体" w:hAnsi="宋体" w:eastAsia="宋体" w:cs="宋体"/>
          <w:bCs/>
          <w:sz w:val="24"/>
          <w:szCs w:val="24"/>
        </w:rPr>
        <w:t>投标报价中的计价一律采用人民币。投标报价中的计价一律采用总价报价。大写与小写不一致，以大写为准。</w:t>
      </w:r>
    </w:p>
    <w:p>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lang w:val="en-US" w:eastAsia="zh-CN"/>
        </w:rPr>
        <w:t>5</w:t>
      </w:r>
      <w:r>
        <w:rPr>
          <w:rFonts w:hint="eastAsia" w:ascii="宋体" w:hAnsi="宋体" w:eastAsia="宋体" w:cs="宋体"/>
          <w:spacing w:val="-11"/>
          <w:sz w:val="24"/>
          <w:szCs w:val="24"/>
          <w:lang w:val="en-US" w:eastAsia="zh-CN"/>
        </w:rPr>
        <w:t>.</w:t>
      </w:r>
      <w:r>
        <w:rPr>
          <w:rFonts w:hint="eastAsia" w:ascii="宋体" w:hAnsi="宋体" w:eastAsia="宋体" w:cs="宋体"/>
          <w:bCs/>
          <w:sz w:val="24"/>
          <w:szCs w:val="24"/>
        </w:rPr>
        <w:t>总价报价超过或等于总价最高限价的为无效报价。</w:t>
      </w:r>
    </w:p>
    <w:p>
      <w:pPr>
        <w:keepNext w:val="0"/>
        <w:keepLines w:val="0"/>
        <w:pageBreakBefore w:val="0"/>
        <w:widowControl w:val="0"/>
        <w:kinsoku/>
        <w:wordWrap/>
        <w:overflowPunct/>
        <w:topLinePunct w:val="0"/>
        <w:autoSpaceDE/>
        <w:autoSpaceDN/>
        <w:bidi w:val="0"/>
        <w:snapToGrid w:val="0"/>
        <w:spacing w:line="440" w:lineRule="exact"/>
        <w:ind w:firstLine="482" w:firstLineChars="200"/>
        <w:textAlignment w:val="auto"/>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五</w:t>
      </w:r>
      <w:r>
        <w:rPr>
          <w:rFonts w:hint="eastAsia" w:ascii="宋体" w:hAnsi="宋体" w:eastAsia="宋体" w:cs="宋体"/>
          <w:b/>
          <w:sz w:val="24"/>
          <w:szCs w:val="24"/>
        </w:rPr>
        <w:t>、付款方式</w:t>
      </w:r>
      <w:r>
        <w:rPr>
          <w:rFonts w:hint="eastAsia" w:ascii="宋体" w:hAnsi="宋体" w:eastAsia="宋体" w:cs="宋体"/>
          <w:b/>
          <w:sz w:val="24"/>
          <w:szCs w:val="24"/>
          <w:lang w:eastAsia="zh-CN"/>
        </w:rPr>
        <w:t>：</w:t>
      </w:r>
      <w:r>
        <w:rPr>
          <w:rStyle w:val="19"/>
          <w:rFonts w:hint="eastAsia" w:ascii="宋体" w:hAnsi="宋体" w:eastAsia="宋体" w:cs="宋体"/>
          <w:b w:val="0"/>
          <w:bCs w:val="0"/>
          <w:color w:val="auto"/>
          <w:kern w:val="0"/>
          <w:sz w:val="24"/>
          <w:szCs w:val="24"/>
          <w:highlight w:val="none"/>
          <w:lang w:val="en-US" w:eastAsia="zh-CN"/>
        </w:rPr>
        <w:t>在合同期内能正常履行合同且电梯设施安全运转，维保期满后一次性支付。</w:t>
      </w:r>
      <w:r>
        <w:rPr>
          <w:rStyle w:val="19"/>
          <w:rFonts w:hint="eastAsia" w:ascii="宋体" w:hAnsi="宋体" w:eastAsia="宋体" w:cs="宋体"/>
          <w:b/>
          <w:bCs/>
          <w:color w:val="auto"/>
          <w:kern w:val="0"/>
          <w:sz w:val="24"/>
          <w:szCs w:val="24"/>
          <w:highlight w:val="none"/>
          <w:lang w:val="en-US" w:eastAsia="zh-CN"/>
        </w:rPr>
        <w:t>注：如采购人与供应商续签合同，维保费采用一年一支付方式。</w:t>
      </w:r>
    </w:p>
    <w:p>
      <w:pPr>
        <w:keepNext w:val="0"/>
        <w:keepLines w:val="0"/>
        <w:pageBreakBefore w:val="0"/>
        <w:widowControl w:val="0"/>
        <w:kinsoku/>
        <w:wordWrap/>
        <w:overflowPunct/>
        <w:topLinePunct w:val="0"/>
        <w:autoSpaceDE/>
        <w:autoSpaceDN/>
        <w:bidi w:val="0"/>
        <w:snapToGrid w:val="0"/>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六</w:t>
      </w:r>
      <w:r>
        <w:rPr>
          <w:rFonts w:hint="eastAsia" w:ascii="宋体" w:hAnsi="宋体" w:eastAsia="宋体" w:cs="宋体"/>
          <w:b/>
          <w:sz w:val="24"/>
          <w:szCs w:val="24"/>
        </w:rPr>
        <w:t>、履约保证金</w:t>
      </w:r>
    </w:p>
    <w:p>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1、本项目成交后的履约保证金为项目成交价的10%，成交供应商的履约保证金须在成交通知书发出之日起至合同签订前汇入采购单位账户（应当以银行转账或银行汇票</w:t>
      </w:r>
      <w:r>
        <w:rPr>
          <w:rFonts w:hint="eastAsia" w:ascii="宋体" w:hAnsi="宋体" w:eastAsia="宋体" w:cs="宋体"/>
          <w:sz w:val="24"/>
          <w:szCs w:val="24"/>
          <w:lang w:val="en-US" w:eastAsia="zh-CN"/>
        </w:rPr>
        <w:t>或保函</w:t>
      </w:r>
      <w:r>
        <w:rPr>
          <w:rFonts w:hint="eastAsia" w:ascii="宋体" w:hAnsi="宋体" w:eastAsia="宋体" w:cs="宋体"/>
          <w:sz w:val="24"/>
          <w:szCs w:val="24"/>
        </w:rPr>
        <w:t>形式提交），成交供应商凭成交通知书与采购单位签订合同。超期或未有协商，则视为自动放弃成交资格。</w:t>
      </w:r>
      <w:r>
        <w:rPr>
          <w:rFonts w:hint="eastAsia" w:ascii="宋体" w:hAnsi="宋体" w:eastAsia="宋体" w:cs="宋体"/>
          <w:sz w:val="24"/>
          <w:szCs w:val="24"/>
        </w:rPr>
        <w:cr/>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2、成交供应商全部履约合同义务，经采购单位验收合格无质量、进度等问题的，采购人在验收合格后一次性退还履约保证金。</w:t>
      </w:r>
      <w:r>
        <w:rPr>
          <w:rFonts w:hint="eastAsia" w:ascii="宋体" w:hAnsi="宋体" w:eastAsia="宋体" w:cs="宋体"/>
          <w:sz w:val="24"/>
          <w:szCs w:val="24"/>
        </w:rPr>
        <w:cr/>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3、发生以下情况的，履约保证金不予退还或部分退还：</w:t>
      </w:r>
      <w:r>
        <w:rPr>
          <w:rFonts w:hint="eastAsia" w:ascii="宋体" w:hAnsi="宋体" w:eastAsia="宋体" w:cs="宋体"/>
          <w:sz w:val="24"/>
          <w:szCs w:val="24"/>
        </w:rPr>
        <w:cr/>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a.签订合同后，成交供应商不履行合同义务的，采购单位有权全额扣除履约保证金，全额不予退还，同时采购单位亦有权终止合同，成交供应商还须承担相应的法律赔偿责任。</w:t>
      </w:r>
    </w:p>
    <w:p>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b.成交供应商在履约过程中发生违约行为，给采购单位造成损失的，采购单位有权在成交供应商缴纳的履约保证金中予以扣款，以弥补采购单位经济损失，不足的部分成交供应商另外补齐。</w:t>
      </w:r>
    </w:p>
    <w:p>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sz w:val="24"/>
          <w:szCs w:val="24"/>
        </w:rPr>
      </w:pPr>
    </w:p>
    <w:p>
      <w:pPr>
        <w:spacing w:line="500" w:lineRule="exact"/>
        <w:jc w:val="center"/>
        <w:rPr>
          <w:rFonts w:hint="eastAsia" w:ascii="宋体" w:hAnsi="宋体" w:eastAsia="宋体" w:cs="宋体"/>
          <w:bCs/>
          <w:sz w:val="28"/>
          <w:szCs w:val="28"/>
        </w:rPr>
      </w:pPr>
    </w:p>
    <w:p>
      <w:pPr>
        <w:spacing w:line="500" w:lineRule="exact"/>
        <w:jc w:val="center"/>
        <w:rPr>
          <w:rFonts w:hint="eastAsia" w:ascii="宋体" w:hAnsi="宋体" w:eastAsia="宋体" w:cs="宋体"/>
          <w:b/>
          <w:sz w:val="24"/>
          <w:szCs w:val="24"/>
        </w:rPr>
      </w:pPr>
      <w:r>
        <w:rPr>
          <w:rFonts w:hint="eastAsia" w:ascii="宋体" w:hAnsi="宋体" w:eastAsia="宋体" w:cs="宋体"/>
          <w:b/>
          <w:sz w:val="28"/>
          <w:szCs w:val="28"/>
        </w:rPr>
        <w:t>第四部分  评审方法和评审标准</w:t>
      </w:r>
    </w:p>
    <w:p>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一、谈判方式</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本项目采用现场</w:t>
      </w:r>
      <w:r>
        <w:rPr>
          <w:rFonts w:hint="eastAsia" w:ascii="宋体" w:hAnsi="宋体" w:eastAsia="宋体" w:cs="宋体"/>
          <w:color w:val="auto"/>
          <w:sz w:val="24"/>
          <w:szCs w:val="24"/>
          <w:highlight w:val="none"/>
        </w:rPr>
        <w:t>谈判模式，供应商</w:t>
      </w:r>
      <w:r>
        <w:rPr>
          <w:rFonts w:hint="eastAsia" w:ascii="宋体" w:hAnsi="宋体" w:eastAsia="宋体" w:cs="宋体"/>
          <w:color w:val="auto"/>
          <w:sz w:val="24"/>
          <w:szCs w:val="24"/>
          <w:highlight w:val="none"/>
          <w:lang w:val="en-US" w:eastAsia="zh-CN"/>
        </w:rPr>
        <w:t>需</w:t>
      </w:r>
      <w:r>
        <w:rPr>
          <w:rFonts w:hint="eastAsia" w:ascii="宋体" w:hAnsi="宋体" w:eastAsia="宋体" w:cs="宋体"/>
          <w:color w:val="auto"/>
          <w:sz w:val="24"/>
          <w:szCs w:val="24"/>
          <w:highlight w:val="none"/>
          <w:lang w:eastAsia="zh-CN"/>
        </w:rPr>
        <w:t>在</w:t>
      </w:r>
      <w:r>
        <w:rPr>
          <w:rFonts w:hint="eastAsia" w:ascii="宋体" w:hAnsi="宋体" w:eastAsia="宋体" w:cs="宋体"/>
          <w:color w:val="auto"/>
          <w:sz w:val="24"/>
          <w:szCs w:val="24"/>
          <w:highlight w:val="none"/>
          <w:lang w:val="en-US" w:eastAsia="zh-CN"/>
        </w:rPr>
        <w:t>规定时间内</w:t>
      </w:r>
      <w:r>
        <w:rPr>
          <w:rFonts w:hint="eastAsia" w:ascii="宋体" w:hAnsi="宋体" w:eastAsia="宋体" w:cs="宋体"/>
          <w:color w:val="auto"/>
          <w:sz w:val="24"/>
          <w:szCs w:val="24"/>
          <w:highlight w:val="none"/>
        </w:rPr>
        <w:t>参加谈判活动。</w:t>
      </w:r>
    </w:p>
    <w:p>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二、谈判程序及评审方法和标准</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采购代理机构现场打开供应商的响应文件，谈判小组对供应商的资格性、符合性进行审查，通过审查的供应商接受谈判小组的谈判，在质量和服务相等的前提下，最后报价最低者为成交供应商。</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资格性、符合性审查结束后进入最后报价环节，</w:t>
      </w:r>
      <w:r>
        <w:rPr>
          <w:rFonts w:hint="eastAsia" w:ascii="宋体" w:hAnsi="宋体" w:eastAsia="宋体" w:cs="宋体"/>
          <w:color w:val="auto"/>
          <w:sz w:val="24"/>
          <w:szCs w:val="24"/>
        </w:rPr>
        <w:t>最后报价将作为评审价。所有的响应供应商须在</w:t>
      </w:r>
      <w:r>
        <w:rPr>
          <w:rFonts w:hint="eastAsia" w:ascii="宋体" w:hAnsi="宋体" w:eastAsia="宋体" w:cs="宋体"/>
          <w:color w:val="auto"/>
          <w:sz w:val="24"/>
          <w:szCs w:val="24"/>
          <w:highlight w:val="none"/>
        </w:rPr>
        <w:t>15分钟内填写</w:t>
      </w:r>
      <w:r>
        <w:rPr>
          <w:rFonts w:hint="eastAsia" w:ascii="宋体" w:hAnsi="宋体" w:eastAsia="宋体" w:cs="宋体"/>
          <w:color w:val="auto"/>
          <w:sz w:val="24"/>
          <w:szCs w:val="24"/>
        </w:rPr>
        <w:t>完毕并递交最后报价，</w:t>
      </w:r>
      <w:r>
        <w:rPr>
          <w:rFonts w:hint="eastAsia" w:ascii="宋体" w:hAnsi="宋体" w:eastAsia="宋体" w:cs="宋体"/>
          <w:sz w:val="24"/>
          <w:szCs w:val="24"/>
        </w:rPr>
        <w:t>未在规定时间内递交最后报价的，视作无效响应处理。</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最后报价是供应商响应文件的有效组成部分，递交最后报价的供应商不得少于3家；只有符合《政府采购非招标采购方式管理暂行办法》第二十七条第二款规定情形的，递交最后报价的供应商可以为2家。</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各供应商最后报价结束后,如谈判小组认为最后报价最低的供应商的报价明显低于其自身成本，涉嫌恶意竞争，有可能影响服务质量和不能诚信履约的，则有权要求其在合理的时间内现场提供说明，必要时提交相关证明材料。若该供应商拒绝说明或未在规定期限内提供说明，或虽有书面说明但仍无法证明其报价合理性的，则谈判小组有权取消其谈判成交资格，按顺序由最后报价次低的供应商递补，以此类推。</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评委在认真审阅响应文件的基础上，根据各响应文件的响应程度独立评判。</w:t>
      </w:r>
    </w:p>
    <w:p>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（一）谈判小组对供应商资格进行审查</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供应商资格不合格的，其响应文件判定为无效响应文件。</w:t>
      </w:r>
    </w:p>
    <w:p>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（二）谈判小组对符合资格要求的供应商的响应文件进行符合性审查</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未通过符合性审查的响应文件，将被判为不满足谈判文件实质性要求。</w:t>
      </w:r>
    </w:p>
    <w:p>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（三）成交供应商的确定</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谈判小组在提交最后报价的供应商中，根据质量和服务均能满足采购文件实质性响应要求且最后报价最低的原则确定成交供应商，并编写评审报告。若最后报价有相同时，则通过抽签方式确定成交供应商。</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2.当第一中标候选人放弃中标、因不可抗力不能履行合同、不按照招标文件要求提交履约保证金，或者被查实存在影响中标结果的违法行为等情形，不符合中标条件的，采购人依法重新招标。</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中标供应商在中标通知书领取前必须接受采购人的合同交底，交底对象为项目负责人。中标供应商未如期参加合同交底，则视为中标供应商无正当理由拒签合同。中标供应商若参与投标则视为接受以上交底要求。</w:t>
      </w:r>
    </w:p>
    <w:p>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（四）采购代理机构宣布评审结果</w:t>
      </w:r>
    </w:p>
    <w:p>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（五）公告成交结果</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自确定成交供应商之日起2个工作日内，在</w:t>
      </w:r>
      <w:r>
        <w:rPr>
          <w:rFonts w:hint="eastAsia" w:ascii="宋体" w:hAnsi="宋体" w:eastAsia="宋体" w:cs="宋体"/>
          <w:sz w:val="24"/>
          <w:szCs w:val="24"/>
          <w:lang w:val="en-US" w:eastAsia="zh-CN"/>
        </w:rPr>
        <w:t>启东廉政网</w:t>
      </w:r>
      <w:r>
        <w:rPr>
          <w:rFonts w:hint="eastAsia" w:ascii="宋体" w:hAnsi="宋体" w:eastAsia="宋体" w:cs="宋体"/>
          <w:sz w:val="24"/>
          <w:szCs w:val="24"/>
        </w:rPr>
        <w:t>公告成交结果，公告期限为1个工作日。</w:t>
      </w:r>
    </w:p>
    <w:p>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（六）发放成交通知书</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公告成交结果的同时，采购人</w:t>
      </w:r>
      <w:r>
        <w:rPr>
          <w:rFonts w:hint="eastAsia" w:ascii="宋体" w:hAnsi="宋体" w:eastAsia="宋体" w:cs="宋体"/>
          <w:bCs/>
          <w:sz w:val="24"/>
          <w:szCs w:val="24"/>
        </w:rPr>
        <w:t>向成交供应商发放成交通知书</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8"/>
          <w:szCs w:val="28"/>
        </w:rPr>
      </w:pPr>
      <w:r>
        <w:rPr>
          <w:rFonts w:hint="eastAsia" w:ascii="宋体" w:hAnsi="宋体" w:eastAsia="宋体" w:cs="宋体"/>
          <w:sz w:val="24"/>
          <w:szCs w:val="24"/>
        </w:rPr>
        <w:t>成交通知书发出后，采购人不得违法改变成交结果，成交供应商无正当理由不得放弃成交。</w:t>
      </w:r>
    </w:p>
    <w:p>
      <w:pPr>
        <w:snapToGrid w:val="0"/>
        <w:spacing w:line="500" w:lineRule="exact"/>
        <w:ind w:firstLine="420" w:firstLineChars="150"/>
        <w:jc w:val="center"/>
        <w:rPr>
          <w:rFonts w:hint="eastAsia" w:ascii="宋体" w:hAnsi="宋体" w:eastAsia="宋体" w:cs="宋体"/>
          <w:sz w:val="28"/>
          <w:szCs w:val="28"/>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28"/>
          <w:szCs w:val="28"/>
        </w:rPr>
        <w:t> </w:t>
      </w:r>
    </w:p>
    <w:p>
      <w:pPr>
        <w:snapToGrid w:val="0"/>
        <w:spacing w:line="500" w:lineRule="exact"/>
        <w:ind w:firstLine="422" w:firstLineChars="150"/>
        <w:jc w:val="center"/>
        <w:rPr>
          <w:rFonts w:hint="eastAsia" w:ascii="宋体" w:hAnsi="宋体" w:eastAsia="宋体" w:cs="宋体"/>
          <w:b/>
          <w:sz w:val="28"/>
          <w:szCs w:val="28"/>
        </w:rPr>
      </w:pPr>
      <w:r>
        <w:rPr>
          <w:rFonts w:hint="eastAsia" w:ascii="宋体" w:hAnsi="宋体" w:eastAsia="宋体" w:cs="宋体"/>
          <w:b/>
          <w:sz w:val="28"/>
          <w:szCs w:val="28"/>
        </w:rPr>
        <w:t>第五部分  响应文件组成</w:t>
      </w:r>
    </w:p>
    <w:p>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jc w:val="left"/>
        <w:textAlignment w:val="auto"/>
        <w:rPr>
          <w:rFonts w:hint="eastAsia" w:ascii="宋体" w:hAnsi="宋体" w:eastAsia="宋体" w:cs="宋体"/>
          <w:b/>
          <w:sz w:val="24"/>
          <w:szCs w:val="24"/>
        </w:rPr>
      </w:pPr>
    </w:p>
    <w:p>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响应文件由资格审查证明材料、价格标二部分组成。</w:t>
      </w:r>
    </w:p>
    <w:p>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一、资格审查证明材料（不能出现价格文件）</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1.竞谈承诺书（按照附件一格式填写）；</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2.法定代表人授权委托书及被授权人身份证正反面复印件（法定代表人授权委托书按照附件二格式填写，法定代表人亲自参加的，无需提供授权委托书；非法定代表人参加投标时提交）；</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3.法定代表人身份证正反面复印件（无论法定代表人是否亲自参加谈判均需提供本项材料）；</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投标人</w:t>
      </w:r>
      <w:r>
        <w:rPr>
          <w:rFonts w:hint="eastAsia" w:ascii="宋体" w:hAnsi="宋体" w:eastAsia="宋体" w:cs="宋体"/>
          <w:sz w:val="24"/>
          <w:szCs w:val="24"/>
        </w:rPr>
        <w:t>有效的企业法人营业执照</w:t>
      </w:r>
      <w:r>
        <w:rPr>
          <w:rFonts w:hint="eastAsia" w:ascii="宋体" w:hAnsi="宋体" w:eastAsia="宋体" w:cs="宋体"/>
          <w:bCs/>
          <w:sz w:val="24"/>
          <w:szCs w:val="24"/>
        </w:rPr>
        <w:t>（副本）</w:t>
      </w:r>
      <w:r>
        <w:rPr>
          <w:rFonts w:hint="eastAsia" w:ascii="宋体" w:hAnsi="宋体" w:eastAsia="宋体" w:cs="宋体"/>
          <w:sz w:val="24"/>
          <w:szCs w:val="24"/>
        </w:rPr>
        <w:t>复印件；</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5.</w:t>
      </w:r>
      <w:r>
        <w:rPr>
          <w:rFonts w:hint="eastAsia" w:ascii="宋体" w:hAnsi="宋体" w:eastAsia="宋体" w:cs="宋体"/>
          <w:bCs/>
          <w:sz w:val="24"/>
          <w:szCs w:val="24"/>
          <w:lang w:val="en-US" w:eastAsia="zh-CN"/>
        </w:rPr>
        <w:t>投标人</w:t>
      </w:r>
      <w:r>
        <w:rPr>
          <w:rFonts w:hint="eastAsia" w:ascii="宋体" w:hAnsi="宋体" w:eastAsia="宋体" w:cs="宋体"/>
          <w:sz w:val="24"/>
          <w:szCs w:val="24"/>
          <w:highlight w:val="none"/>
        </w:rPr>
        <w:t>具有中华人民共和国特种设备生产许可证（电梯安装含维修）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提供相应证书</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.供应商参加政府采购活动前3年内在经营活动中没有重大违法记录和失信记录的书面声明（按照附件三格式填写）；</w:t>
      </w:r>
    </w:p>
    <w:p>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注意：上述要求提供复印件的均需加盖单位公章，否则资格审查不通过。</w:t>
      </w:r>
    </w:p>
    <w:p>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二、价格标</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1.投标报价表（按照附件五格式填写）；</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sz w:val="28"/>
          <w:szCs w:val="28"/>
        </w:rPr>
      </w:pPr>
      <w:r>
        <w:rPr>
          <w:rFonts w:hint="eastAsia" w:ascii="宋体" w:hAnsi="宋体" w:eastAsia="宋体" w:cs="宋体"/>
          <w:sz w:val="24"/>
          <w:szCs w:val="24"/>
        </w:rPr>
        <w:t>2.最后报价一览表（按照附件六格式填写）供应商须签字并加盖单位公章，供最后报价时使用。</w:t>
      </w:r>
    </w:p>
    <w:p>
      <w:pPr>
        <w:snapToGrid w:val="0"/>
        <w:spacing w:line="500" w:lineRule="exact"/>
        <w:rPr>
          <w:rFonts w:hint="eastAsia" w:ascii="宋体" w:hAnsi="宋体" w:eastAsia="宋体" w:cs="宋体"/>
          <w:sz w:val="28"/>
          <w:szCs w:val="28"/>
        </w:rPr>
      </w:pPr>
    </w:p>
    <w:p>
      <w:pPr>
        <w:pStyle w:val="11"/>
        <w:rPr>
          <w:rFonts w:hint="eastAsia" w:ascii="宋体" w:hAnsi="宋体" w:eastAsia="宋体" w:cs="宋体"/>
        </w:rPr>
      </w:pPr>
    </w:p>
    <w:p>
      <w:pPr>
        <w:rPr>
          <w:rFonts w:hint="eastAsia" w:ascii="宋体" w:hAnsi="宋体" w:eastAsia="宋体" w:cs="宋体"/>
        </w:rPr>
      </w:pPr>
    </w:p>
    <w:p>
      <w:pPr>
        <w:snapToGrid w:val="0"/>
        <w:spacing w:line="500" w:lineRule="exact"/>
        <w:rPr>
          <w:rFonts w:hint="eastAsia" w:ascii="宋体" w:hAnsi="宋体" w:eastAsia="宋体" w:cs="宋体"/>
          <w:sz w:val="28"/>
          <w:szCs w:val="28"/>
        </w:rPr>
      </w:pPr>
    </w:p>
    <w:p>
      <w:pPr>
        <w:rPr>
          <w:rFonts w:hint="eastAsia" w:ascii="宋体" w:hAnsi="宋体" w:eastAsia="宋体" w:cs="宋体"/>
        </w:rPr>
      </w:pPr>
    </w:p>
    <w:p>
      <w:pPr>
        <w:spacing w:line="500" w:lineRule="exact"/>
        <w:rPr>
          <w:rFonts w:hint="eastAsia" w:ascii="宋体" w:hAnsi="宋体" w:eastAsia="宋体" w:cs="宋体"/>
          <w:sz w:val="28"/>
          <w:szCs w:val="28"/>
        </w:rPr>
      </w:pPr>
    </w:p>
    <w:p>
      <w:pPr>
        <w:spacing w:line="500" w:lineRule="exact"/>
        <w:rPr>
          <w:rFonts w:hint="eastAsia" w:ascii="宋体" w:hAnsi="宋体" w:eastAsia="宋体" w:cs="宋体"/>
          <w:sz w:val="28"/>
          <w:szCs w:val="28"/>
        </w:rPr>
        <w:sectPr>
          <w:pgSz w:w="11906" w:h="16838"/>
          <w:pgMar w:top="1440" w:right="1800" w:bottom="1440" w:left="1800" w:header="851" w:footer="992" w:gutter="0"/>
          <w:cols w:space="425" w:num="1"/>
          <w:docGrid w:type="lines" w:linePitch="312" w:charSpace="0"/>
        </w:sectPr>
      </w:pPr>
    </w:p>
    <w:p>
      <w:pPr>
        <w:spacing w:line="500" w:lineRule="exact"/>
        <w:rPr>
          <w:rFonts w:hint="eastAsia" w:ascii="宋体" w:hAnsi="宋体" w:eastAsia="宋体" w:cs="宋体"/>
          <w:sz w:val="28"/>
          <w:szCs w:val="28"/>
        </w:rPr>
      </w:pPr>
      <w:r>
        <w:rPr>
          <w:rFonts w:hint="eastAsia" w:ascii="宋体" w:hAnsi="宋体" w:eastAsia="宋体" w:cs="宋体"/>
          <w:sz w:val="28"/>
          <w:szCs w:val="28"/>
        </w:rPr>
        <w:t>附件一：</w:t>
      </w:r>
    </w:p>
    <w:p>
      <w:pPr>
        <w:spacing w:line="500" w:lineRule="exact"/>
        <w:ind w:firstLine="643" w:firstLineChars="200"/>
        <w:jc w:val="center"/>
        <w:rPr>
          <w:rFonts w:hint="eastAsia" w:ascii="宋体" w:hAnsi="宋体" w:eastAsia="宋体" w:cs="宋体"/>
          <w:sz w:val="28"/>
          <w:szCs w:val="28"/>
          <w:shd w:val="clear" w:color="auto" w:fill="FFFFFF"/>
        </w:rPr>
      </w:pPr>
      <w:r>
        <w:rPr>
          <w:rFonts w:hint="eastAsia" w:ascii="宋体" w:hAnsi="宋体" w:eastAsia="宋体" w:cs="宋体"/>
          <w:b/>
          <w:sz w:val="32"/>
          <w:szCs w:val="32"/>
        </w:rPr>
        <w:t>谈判承诺书</w:t>
      </w:r>
    </w:p>
    <w:p>
      <w:pPr>
        <w:widowControl/>
        <w:spacing w:line="500" w:lineRule="exact"/>
        <w:jc w:val="left"/>
        <w:rPr>
          <w:rFonts w:hint="eastAsia" w:ascii="宋体" w:hAnsi="宋体" w:eastAsia="宋体" w:cs="宋体"/>
          <w:spacing w:val="-11"/>
          <w:sz w:val="28"/>
          <w:szCs w:val="28"/>
          <w:u w:val="single"/>
          <w:shd w:val="clear" w:color="auto" w:fill="FFFFFF"/>
        </w:rPr>
      </w:pPr>
      <w:r>
        <w:rPr>
          <w:rFonts w:hint="eastAsia" w:ascii="宋体" w:hAnsi="宋体" w:eastAsia="宋体" w:cs="宋体"/>
          <w:spacing w:val="-11"/>
          <w:sz w:val="28"/>
          <w:szCs w:val="28"/>
          <w:u w:val="single"/>
          <w:shd w:val="clear" w:color="auto" w:fill="FFFFFF"/>
          <w:lang w:eastAsia="zh-CN"/>
        </w:rPr>
        <w:t>启东市党风廉政建设教育中心</w:t>
      </w:r>
      <w:r>
        <w:rPr>
          <w:rFonts w:hint="eastAsia" w:ascii="宋体" w:hAnsi="宋体" w:eastAsia="宋体" w:cs="宋体"/>
          <w:spacing w:val="-11"/>
          <w:sz w:val="28"/>
          <w:szCs w:val="28"/>
          <w:u w:val="single"/>
          <w:shd w:val="clear" w:color="auto" w:fill="FFFFFF"/>
        </w:rPr>
        <w:t>：</w:t>
      </w:r>
    </w:p>
    <w:p>
      <w:pPr>
        <w:widowControl/>
        <w:spacing w:line="500" w:lineRule="exact"/>
        <w:ind w:firstLine="560" w:firstLineChars="200"/>
        <w:jc w:val="lef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我们已收到你们关于</w:t>
      </w:r>
      <w:r>
        <w:rPr>
          <w:rFonts w:hint="eastAsia" w:ascii="宋体" w:hAnsi="宋体" w:eastAsia="宋体" w:cs="宋体"/>
          <w:sz w:val="28"/>
          <w:szCs w:val="28"/>
          <w:u w:val="single"/>
          <w:lang w:eastAsia="zh-CN"/>
        </w:rPr>
        <w:t>启东市党风廉政建设教育中心电梯维保项目（</w:t>
      </w:r>
      <w:r>
        <w:rPr>
          <w:rFonts w:hint="eastAsia" w:ascii="宋体" w:hAnsi="宋体" w:eastAsia="宋体" w:cs="宋体"/>
          <w:sz w:val="28"/>
          <w:szCs w:val="28"/>
          <w:u w:val="single"/>
          <w:lang w:val="en-US" w:eastAsia="zh-CN"/>
        </w:rPr>
        <w:t>第二次</w:t>
      </w:r>
      <w:r>
        <w:rPr>
          <w:rFonts w:hint="eastAsia" w:ascii="宋体" w:hAnsi="宋体" w:eastAsia="宋体" w:cs="宋体"/>
          <w:sz w:val="28"/>
          <w:szCs w:val="28"/>
          <w:u w:val="single"/>
          <w:lang w:eastAsia="zh-CN"/>
        </w:rPr>
        <w:t>）</w:t>
      </w:r>
      <w:r>
        <w:rPr>
          <w:rFonts w:hint="eastAsia" w:ascii="宋体" w:hAnsi="宋体" w:eastAsia="宋体" w:cs="宋体"/>
          <w:sz w:val="28"/>
          <w:szCs w:val="28"/>
          <w:shd w:val="clear" w:color="auto" w:fill="FFFFFF"/>
        </w:rPr>
        <w:t>的谈判文件，经仔细阅读研究，我们决定参加投标，并作如下承诺：</w:t>
      </w:r>
    </w:p>
    <w:p>
      <w:pPr>
        <w:widowControl/>
        <w:spacing w:line="500" w:lineRule="exact"/>
        <w:ind w:firstLine="560" w:firstLineChars="200"/>
        <w:jc w:val="lef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1.愿意按照谈判文件的一切要求，参与投标。</w:t>
      </w:r>
    </w:p>
    <w:p>
      <w:pPr>
        <w:widowControl/>
        <w:spacing w:line="500" w:lineRule="exact"/>
        <w:ind w:firstLine="560" w:firstLineChars="200"/>
        <w:jc w:val="lef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2.我方的谈判响应文件自开标后60天内有效。</w:t>
      </w:r>
    </w:p>
    <w:p>
      <w:pPr>
        <w:widowControl/>
        <w:spacing w:line="500" w:lineRule="exact"/>
        <w:ind w:firstLine="560" w:firstLineChars="200"/>
        <w:jc w:val="lef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3.如果我们的谈判响应文件被接受，我们将严格履行谈判文件中规定的每一项要求，按期、按质、按量履行义务。</w:t>
      </w:r>
    </w:p>
    <w:p>
      <w:pPr>
        <w:widowControl/>
        <w:spacing w:line="500" w:lineRule="exact"/>
        <w:ind w:firstLine="560" w:firstLineChars="200"/>
        <w:jc w:val="lef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4.我们愿意提供在谈判文件中要求的所有服务。</w:t>
      </w:r>
    </w:p>
    <w:p>
      <w:pPr>
        <w:widowControl/>
        <w:spacing w:line="500" w:lineRule="exact"/>
        <w:ind w:firstLine="560" w:firstLineChars="200"/>
        <w:jc w:val="lef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5.我们同意你们的确定成交供应商的方式。</w:t>
      </w:r>
    </w:p>
    <w:p>
      <w:pPr>
        <w:widowControl/>
        <w:spacing w:line="500" w:lineRule="exact"/>
        <w:ind w:firstLine="560" w:firstLineChars="200"/>
        <w:jc w:val="lef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6.如被确定为成交供应商，愿意在签订合同前向采购人交纳履约保证金，如无法按期完成服务，采购人可对履约保证金作不予退还处理并报相关部门予以处罚；如逾期完成合同任务，采购人可按谈判文件予以处理。</w:t>
      </w:r>
    </w:p>
    <w:p>
      <w:pPr>
        <w:widowControl/>
        <w:spacing w:line="500" w:lineRule="exact"/>
        <w:ind w:firstLine="560" w:firstLineChars="200"/>
        <w:jc w:val="lef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8.有关谈判事项的函电，请按下列方式联系：</w:t>
      </w:r>
    </w:p>
    <w:p>
      <w:pPr>
        <w:widowControl/>
        <w:spacing w:line="500" w:lineRule="exact"/>
        <w:ind w:firstLine="560" w:firstLineChars="200"/>
        <w:jc w:val="lef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单位：         邮编：             电话：</w:t>
      </w:r>
    </w:p>
    <w:p>
      <w:pPr>
        <w:widowControl/>
        <w:spacing w:line="500" w:lineRule="exact"/>
        <w:ind w:firstLine="560" w:firstLineChars="200"/>
        <w:jc w:val="lef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传真：         联系人：           地址：</w:t>
      </w:r>
    </w:p>
    <w:p>
      <w:pPr>
        <w:widowControl/>
        <w:spacing w:line="500" w:lineRule="exact"/>
        <w:ind w:firstLine="560" w:firstLineChars="200"/>
        <w:jc w:val="lef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供应商（盖章）：</w:t>
      </w:r>
    </w:p>
    <w:p>
      <w:pPr>
        <w:widowControl/>
        <w:spacing w:line="500" w:lineRule="exact"/>
        <w:ind w:firstLine="560" w:firstLineChars="200"/>
        <w:jc w:val="lef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法定代表人（签字或盖章）：</w:t>
      </w:r>
    </w:p>
    <w:p>
      <w:pPr>
        <w:widowControl/>
        <w:spacing w:line="500" w:lineRule="exact"/>
        <w:ind w:firstLine="560" w:firstLineChars="200"/>
        <w:jc w:val="lef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受托代理人（签字或盖章）：</w:t>
      </w:r>
    </w:p>
    <w:p>
      <w:pPr>
        <w:widowControl/>
        <w:spacing w:line="500" w:lineRule="exact"/>
        <w:ind w:firstLine="560" w:firstLineChars="200"/>
        <w:jc w:val="lef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时间：   年  月  日</w:t>
      </w:r>
    </w:p>
    <w:p>
      <w:pPr>
        <w:spacing w:line="500" w:lineRule="exact"/>
        <w:rPr>
          <w:rFonts w:hint="eastAsia" w:ascii="宋体" w:hAnsi="宋体" w:eastAsia="宋体" w:cs="宋体"/>
          <w:sz w:val="28"/>
          <w:szCs w:val="28"/>
        </w:rPr>
      </w:pPr>
    </w:p>
    <w:p>
      <w:pPr>
        <w:spacing w:line="500" w:lineRule="exact"/>
        <w:rPr>
          <w:rFonts w:hint="eastAsia" w:ascii="宋体" w:hAnsi="宋体" w:eastAsia="宋体" w:cs="宋体"/>
          <w:sz w:val="28"/>
          <w:szCs w:val="28"/>
        </w:rPr>
      </w:pPr>
    </w:p>
    <w:p>
      <w:pPr>
        <w:spacing w:line="500" w:lineRule="exact"/>
        <w:rPr>
          <w:rFonts w:hint="eastAsia" w:ascii="宋体" w:hAnsi="宋体" w:eastAsia="宋体" w:cs="宋体"/>
          <w:sz w:val="28"/>
          <w:szCs w:val="28"/>
        </w:rPr>
      </w:pPr>
    </w:p>
    <w:p>
      <w:pPr>
        <w:pStyle w:val="11"/>
        <w:rPr>
          <w:rFonts w:hint="eastAsia" w:ascii="宋体" w:hAnsi="宋体" w:eastAsia="宋体" w:cs="宋体"/>
        </w:rPr>
      </w:pPr>
    </w:p>
    <w:p>
      <w:pPr>
        <w:spacing w:line="500" w:lineRule="exact"/>
        <w:rPr>
          <w:rFonts w:hint="eastAsia" w:ascii="宋体" w:hAnsi="宋体" w:eastAsia="宋体" w:cs="宋体"/>
          <w:sz w:val="28"/>
          <w:szCs w:val="28"/>
        </w:rPr>
        <w:sectPr>
          <w:pgSz w:w="11906" w:h="16838"/>
          <w:pgMar w:top="1440" w:right="1800" w:bottom="1440" w:left="1800" w:header="851" w:footer="992" w:gutter="0"/>
          <w:cols w:space="425" w:num="1"/>
          <w:docGrid w:type="lines" w:linePitch="312" w:charSpace="0"/>
        </w:sectPr>
      </w:pPr>
    </w:p>
    <w:p>
      <w:pPr>
        <w:spacing w:line="500" w:lineRule="exact"/>
        <w:rPr>
          <w:rFonts w:hint="eastAsia" w:ascii="宋体" w:hAnsi="宋体" w:eastAsia="宋体" w:cs="宋体"/>
          <w:sz w:val="28"/>
          <w:szCs w:val="28"/>
        </w:rPr>
      </w:pPr>
      <w:r>
        <w:rPr>
          <w:rFonts w:hint="eastAsia" w:ascii="宋体" w:hAnsi="宋体" w:eastAsia="宋体" w:cs="宋体"/>
          <w:sz w:val="28"/>
          <w:szCs w:val="28"/>
        </w:rPr>
        <w:t>附件二：</w:t>
      </w:r>
    </w:p>
    <w:p>
      <w:pPr>
        <w:spacing w:line="500" w:lineRule="exact"/>
        <w:rPr>
          <w:rFonts w:hint="eastAsia" w:ascii="宋体" w:hAnsi="宋体" w:eastAsia="宋体" w:cs="宋体"/>
          <w:sz w:val="28"/>
          <w:szCs w:val="28"/>
        </w:rPr>
      </w:pPr>
    </w:p>
    <w:p>
      <w:pPr>
        <w:spacing w:line="500" w:lineRule="exact"/>
        <w:ind w:firstLine="643" w:firstLineChars="200"/>
        <w:jc w:val="center"/>
        <w:rPr>
          <w:rFonts w:hint="eastAsia" w:ascii="宋体" w:hAnsi="宋体" w:eastAsia="宋体" w:cs="宋体"/>
          <w:b/>
          <w:sz w:val="32"/>
          <w:szCs w:val="32"/>
        </w:rPr>
      </w:pPr>
      <w:r>
        <w:rPr>
          <w:rFonts w:hint="eastAsia" w:ascii="宋体" w:hAnsi="宋体" w:eastAsia="宋体" w:cs="宋体"/>
          <w:b/>
          <w:sz w:val="32"/>
          <w:szCs w:val="32"/>
        </w:rPr>
        <w:t>法定代表人授权委托书</w:t>
      </w:r>
    </w:p>
    <w:p>
      <w:pPr>
        <w:spacing w:line="500" w:lineRule="exact"/>
        <w:rPr>
          <w:rFonts w:hint="eastAsia" w:ascii="宋体" w:hAnsi="宋体" w:eastAsia="宋体" w:cs="宋体"/>
          <w:sz w:val="28"/>
          <w:szCs w:val="28"/>
        </w:rPr>
      </w:pPr>
    </w:p>
    <w:p>
      <w:pPr>
        <w:widowControl/>
        <w:spacing w:line="500" w:lineRule="exact"/>
        <w:jc w:val="left"/>
        <w:rPr>
          <w:rFonts w:hint="eastAsia" w:ascii="宋体" w:hAnsi="宋体" w:eastAsia="宋体" w:cs="宋体"/>
          <w:sz w:val="28"/>
          <w:szCs w:val="28"/>
          <w:u w:val="single"/>
          <w:shd w:val="clear" w:color="auto" w:fill="FFFFFF"/>
        </w:rPr>
      </w:pPr>
      <w:r>
        <w:rPr>
          <w:rFonts w:hint="eastAsia" w:ascii="宋体" w:hAnsi="宋体" w:eastAsia="宋体" w:cs="宋体"/>
          <w:sz w:val="28"/>
          <w:szCs w:val="28"/>
          <w:u w:val="single"/>
          <w:lang w:eastAsia="zh-CN"/>
        </w:rPr>
        <w:t>启东市党风廉政建设教育中心</w:t>
      </w:r>
      <w:r>
        <w:rPr>
          <w:rFonts w:hint="eastAsia" w:ascii="宋体" w:hAnsi="宋体" w:eastAsia="宋体" w:cs="宋体"/>
          <w:spacing w:val="-11"/>
          <w:sz w:val="28"/>
          <w:szCs w:val="28"/>
          <w:u w:val="single"/>
          <w:shd w:val="clear" w:color="auto" w:fill="FFFFFF"/>
        </w:rPr>
        <w:t>：</w:t>
      </w:r>
    </w:p>
    <w:p>
      <w:pPr>
        <w:widowControl/>
        <w:spacing w:line="500" w:lineRule="exact"/>
        <w:ind w:firstLine="560" w:firstLineChars="200"/>
        <w:jc w:val="left"/>
        <w:rPr>
          <w:rFonts w:hint="eastAsia" w:ascii="宋体" w:hAnsi="宋体" w:eastAsia="宋体" w:cs="宋体"/>
          <w:sz w:val="28"/>
          <w:szCs w:val="28"/>
          <w:u w:val="single"/>
          <w:shd w:val="clear" w:color="auto" w:fill="FFFFFF"/>
        </w:rPr>
      </w:pPr>
      <w:r>
        <w:rPr>
          <w:rFonts w:hint="eastAsia" w:ascii="宋体" w:hAnsi="宋体" w:eastAsia="宋体" w:cs="宋体"/>
          <w:sz w:val="28"/>
          <w:szCs w:val="28"/>
          <w:u w:val="single"/>
        </w:rPr>
        <w:t xml:space="preserve">  （报价单位名称）  </w:t>
      </w:r>
      <w:r>
        <w:rPr>
          <w:rFonts w:hint="eastAsia" w:ascii="宋体" w:hAnsi="宋体" w:eastAsia="宋体" w:cs="宋体"/>
          <w:sz w:val="28"/>
          <w:szCs w:val="28"/>
        </w:rPr>
        <w:t>中华人民共和国合法企业，法定地址：</w:t>
      </w:r>
      <w:r>
        <w:rPr>
          <w:rFonts w:hint="eastAsia" w:ascii="宋体" w:hAnsi="宋体" w:eastAsia="宋体" w:cs="宋体"/>
          <w:sz w:val="28"/>
          <w:szCs w:val="28"/>
          <w:u w:val="single"/>
        </w:rPr>
        <w:t xml:space="preserve">   （报价单位地址） </w:t>
      </w:r>
      <w:r>
        <w:rPr>
          <w:rFonts w:hint="eastAsia" w:ascii="宋体" w:hAnsi="宋体" w:eastAsia="宋体" w:cs="宋体"/>
          <w:sz w:val="28"/>
          <w:szCs w:val="28"/>
          <w:shd w:val="clear" w:color="auto" w:fill="FFFFFF"/>
        </w:rPr>
        <w:t>特授权</w:t>
      </w:r>
      <w:r>
        <w:rPr>
          <w:rFonts w:hint="eastAsia" w:ascii="宋体" w:hAnsi="宋体" w:eastAsia="宋体" w:cs="宋体"/>
          <w:sz w:val="28"/>
          <w:szCs w:val="28"/>
          <w:u w:val="single"/>
          <w:shd w:val="clear" w:color="auto" w:fill="FFFFFF"/>
        </w:rPr>
        <w:t xml:space="preserve">  （被授权人姓名） </w:t>
      </w:r>
      <w:r>
        <w:rPr>
          <w:rFonts w:hint="eastAsia" w:ascii="宋体" w:hAnsi="宋体" w:eastAsia="宋体" w:cs="宋体"/>
          <w:sz w:val="28"/>
          <w:szCs w:val="28"/>
          <w:shd w:val="clear" w:color="auto" w:fill="FFFFFF"/>
        </w:rPr>
        <w:t>代表我单位全权办理针对</w:t>
      </w:r>
      <w:r>
        <w:rPr>
          <w:rFonts w:hint="eastAsia" w:ascii="宋体" w:hAnsi="宋体" w:eastAsia="宋体" w:cs="宋体"/>
          <w:sz w:val="28"/>
          <w:szCs w:val="28"/>
          <w:u w:val="single"/>
          <w:lang w:eastAsia="zh-CN"/>
        </w:rPr>
        <w:t>启东市党风廉政建设教育中心电梯维保项目（</w:t>
      </w:r>
      <w:r>
        <w:rPr>
          <w:rFonts w:hint="eastAsia" w:ascii="宋体" w:hAnsi="宋体" w:eastAsia="宋体" w:cs="宋体"/>
          <w:sz w:val="28"/>
          <w:szCs w:val="28"/>
          <w:u w:val="single"/>
          <w:lang w:val="en-US" w:eastAsia="zh-CN"/>
        </w:rPr>
        <w:t>第二次</w:t>
      </w:r>
      <w:r>
        <w:rPr>
          <w:rFonts w:hint="eastAsia" w:ascii="宋体" w:hAnsi="宋体" w:eastAsia="宋体" w:cs="宋体"/>
          <w:sz w:val="28"/>
          <w:szCs w:val="28"/>
          <w:u w:val="single"/>
          <w:lang w:eastAsia="zh-CN"/>
        </w:rPr>
        <w:t>）</w:t>
      </w:r>
      <w:r>
        <w:rPr>
          <w:rFonts w:hint="eastAsia" w:ascii="宋体" w:hAnsi="宋体" w:eastAsia="宋体" w:cs="宋体"/>
          <w:sz w:val="28"/>
          <w:szCs w:val="28"/>
          <w:shd w:val="clear" w:color="auto" w:fill="FFFFFF"/>
        </w:rPr>
        <w:t>的投标，并签署全部有关文件、协议及合同。我单位对被授权人签名的所有文件负全部责任。被授权人签署的所有文件（在授权书有效期内签署的）不因授权的撤销而失效，本授权书自投标开始至合同履行完毕止。</w:t>
      </w:r>
    </w:p>
    <w:p>
      <w:pPr>
        <w:widowControl/>
        <w:spacing w:line="500" w:lineRule="exact"/>
        <w:ind w:firstLine="560" w:firstLineChars="200"/>
        <w:jc w:val="lef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被授权人无权转委托。</w:t>
      </w:r>
    </w:p>
    <w:p>
      <w:pPr>
        <w:widowControl/>
        <w:spacing w:line="500" w:lineRule="exact"/>
        <w:jc w:val="left"/>
        <w:rPr>
          <w:rFonts w:hint="eastAsia" w:ascii="宋体" w:hAnsi="宋体" w:eastAsia="宋体" w:cs="宋体"/>
          <w:sz w:val="28"/>
          <w:szCs w:val="28"/>
          <w:shd w:val="clear" w:color="auto" w:fill="FFFFFF"/>
        </w:rPr>
      </w:pPr>
    </w:p>
    <w:p>
      <w:pPr>
        <w:widowControl/>
        <w:snapToGrid w:val="0"/>
        <w:spacing w:line="560" w:lineRule="exact"/>
        <w:jc w:val="lef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被授权人（签字）：       性别：     年龄：     职务：</w:t>
      </w:r>
    </w:p>
    <w:p>
      <w:pPr>
        <w:widowControl/>
        <w:snapToGrid w:val="0"/>
        <w:spacing w:line="560" w:lineRule="exact"/>
        <w:jc w:val="left"/>
        <w:rPr>
          <w:rFonts w:hint="eastAsia" w:ascii="宋体" w:hAnsi="宋体" w:eastAsia="宋体" w:cs="宋体"/>
          <w:sz w:val="28"/>
          <w:szCs w:val="28"/>
          <w:u w:val="single"/>
          <w:shd w:val="clear" w:color="auto" w:fill="FFFFFF"/>
        </w:rPr>
      </w:pPr>
      <w:r>
        <w:rPr>
          <w:rFonts w:hint="eastAsia" w:ascii="宋体" w:hAnsi="宋体" w:eastAsia="宋体" w:cs="宋体"/>
          <w:sz w:val="28"/>
          <w:szCs w:val="28"/>
          <w:shd w:val="clear" w:color="auto" w:fill="FFFFFF"/>
        </w:rPr>
        <w:t>身份证号码：</w:t>
      </w:r>
    </w:p>
    <w:p>
      <w:pPr>
        <w:widowControl/>
        <w:snapToGrid w:val="0"/>
        <w:spacing w:line="560" w:lineRule="exact"/>
        <w:jc w:val="lef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通讯地址：</w:t>
      </w:r>
    </w:p>
    <w:p>
      <w:pPr>
        <w:widowControl/>
        <w:snapToGrid w:val="0"/>
        <w:spacing w:line="560" w:lineRule="exact"/>
        <w:jc w:val="lef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联系电话：</w:t>
      </w:r>
    </w:p>
    <w:p>
      <w:pPr>
        <w:widowControl/>
        <w:snapToGrid w:val="0"/>
        <w:spacing w:line="560" w:lineRule="exact"/>
        <w:jc w:val="lef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法定代表人（签字或盖章）：</w:t>
      </w:r>
    </w:p>
    <w:p>
      <w:pPr>
        <w:widowControl/>
        <w:snapToGrid w:val="0"/>
        <w:spacing w:line="560" w:lineRule="exact"/>
        <w:jc w:val="lef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供应商（盖章）：</w:t>
      </w:r>
    </w:p>
    <w:p>
      <w:pPr>
        <w:widowControl/>
        <w:snapToGrid w:val="0"/>
        <w:spacing w:line="560" w:lineRule="exact"/>
        <w:ind w:firstLine="840" w:firstLineChars="300"/>
        <w:jc w:val="lef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年  月  日</w:t>
      </w:r>
    </w:p>
    <w:p>
      <w:pPr>
        <w:rPr>
          <w:rFonts w:hint="eastAsia" w:ascii="宋体" w:hAnsi="宋体" w:eastAsia="宋体" w:cs="宋体"/>
        </w:rPr>
      </w:pPr>
    </w:p>
    <w:p>
      <w:pPr>
        <w:pStyle w:val="2"/>
        <w:rPr>
          <w:rFonts w:hint="eastAsia" w:ascii="宋体" w:hAnsi="宋体" w:eastAsia="宋体" w:cs="宋体"/>
          <w:kern w:val="2"/>
          <w:sz w:val="28"/>
          <w:szCs w:val="28"/>
          <w:shd w:val="clear" w:color="auto" w:fill="FFFFFF"/>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kern w:val="2"/>
          <w:sz w:val="28"/>
          <w:szCs w:val="28"/>
          <w:shd w:val="clear" w:color="auto" w:fill="FFFFFF"/>
        </w:rPr>
        <w:t>附：被授权人身份证正反面复印件</w:t>
      </w:r>
    </w:p>
    <w:p>
      <w:pPr>
        <w:spacing w:line="360" w:lineRule="auto"/>
        <w:jc w:val="left"/>
        <w:rPr>
          <w:rFonts w:hint="eastAsia" w:ascii="宋体" w:hAnsi="宋体" w:eastAsia="宋体" w:cs="宋体"/>
          <w:bCs/>
          <w:sz w:val="28"/>
          <w:szCs w:val="28"/>
        </w:rPr>
      </w:pPr>
      <w:r>
        <w:rPr>
          <w:rFonts w:hint="eastAsia" w:ascii="宋体" w:hAnsi="宋体" w:eastAsia="宋体" w:cs="宋体"/>
          <w:bCs/>
          <w:sz w:val="28"/>
          <w:szCs w:val="28"/>
        </w:rPr>
        <w:t>附件三：</w:t>
      </w:r>
    </w:p>
    <w:p>
      <w:pPr>
        <w:ind w:firstLine="602" w:firstLineChars="200"/>
        <w:jc w:val="center"/>
        <w:rPr>
          <w:rFonts w:hint="eastAsia" w:ascii="宋体" w:hAnsi="宋体" w:eastAsia="宋体" w:cs="宋体"/>
          <w:b/>
          <w:kern w:val="0"/>
          <w:sz w:val="24"/>
          <w:szCs w:val="24"/>
        </w:rPr>
      </w:pPr>
      <w:r>
        <w:rPr>
          <w:rFonts w:hint="eastAsia" w:ascii="宋体" w:hAnsi="宋体" w:eastAsia="宋体" w:cs="宋体"/>
          <w:b/>
          <w:sz w:val="30"/>
          <w:szCs w:val="30"/>
        </w:rPr>
        <w:t>参加政府采购活动前 3 年内在经营活动中没有重大违法记</w:t>
      </w:r>
      <w:r>
        <w:rPr>
          <w:rFonts w:hint="eastAsia" w:ascii="宋体" w:hAnsi="宋体" w:eastAsia="宋体" w:cs="宋体"/>
          <w:b/>
          <w:bCs/>
          <w:sz w:val="30"/>
          <w:szCs w:val="30"/>
        </w:rPr>
        <w:t>录和失信记录的书面声明</w:t>
      </w:r>
    </w:p>
    <w:p>
      <w:pPr>
        <w:spacing w:line="460" w:lineRule="exact"/>
        <w:rPr>
          <w:rFonts w:hint="eastAsia" w:ascii="宋体" w:hAnsi="宋体" w:eastAsia="宋体" w:cs="宋体"/>
          <w:b/>
          <w:sz w:val="44"/>
          <w:szCs w:val="44"/>
        </w:rPr>
      </w:pPr>
    </w:p>
    <w:p>
      <w:pPr>
        <w:spacing w:line="460" w:lineRule="exact"/>
        <w:jc w:val="center"/>
        <w:rPr>
          <w:rFonts w:hint="eastAsia" w:ascii="宋体" w:hAnsi="宋体" w:eastAsia="宋体" w:cs="宋体"/>
          <w:b/>
          <w:sz w:val="44"/>
          <w:szCs w:val="44"/>
        </w:rPr>
      </w:pPr>
      <w:r>
        <w:rPr>
          <w:rFonts w:hint="eastAsia" w:ascii="宋体" w:hAnsi="宋体" w:eastAsia="宋体" w:cs="宋体"/>
          <w:b/>
          <w:sz w:val="44"/>
          <w:szCs w:val="44"/>
        </w:rPr>
        <w:t>声  明</w:t>
      </w:r>
    </w:p>
    <w:p>
      <w:pPr>
        <w:spacing w:line="460" w:lineRule="exact"/>
        <w:ind w:firstLine="881"/>
        <w:jc w:val="center"/>
        <w:rPr>
          <w:rFonts w:hint="eastAsia" w:ascii="宋体" w:hAnsi="宋体" w:eastAsia="宋体" w:cs="宋体"/>
          <w:b/>
          <w:sz w:val="44"/>
          <w:szCs w:val="44"/>
        </w:rPr>
      </w:pPr>
    </w:p>
    <w:p>
      <w:pPr>
        <w:spacing w:line="500" w:lineRule="exact"/>
        <w:ind w:firstLine="482"/>
        <w:rPr>
          <w:rFonts w:hint="eastAsia" w:ascii="宋体" w:hAnsi="宋体" w:eastAsia="宋体" w:cs="宋体"/>
          <w:bCs/>
          <w:sz w:val="28"/>
          <w:szCs w:val="28"/>
        </w:rPr>
      </w:pPr>
      <w:r>
        <w:rPr>
          <w:rFonts w:hint="eastAsia" w:ascii="宋体" w:hAnsi="宋体" w:eastAsia="宋体" w:cs="宋体"/>
          <w:bCs/>
          <w:sz w:val="28"/>
          <w:szCs w:val="28"/>
        </w:rPr>
        <w:t>我公司郑重声明：参加本次政府采购活动前 3 年内，我公司在经营活动中没有因违法经营受到刑事处罚或者责令停产停业、吊销许可证或者执照、较大数额罚款等行政处罚。</w:t>
      </w:r>
    </w:p>
    <w:p>
      <w:pPr>
        <w:spacing w:line="500" w:lineRule="exact"/>
        <w:ind w:firstLine="482"/>
        <w:rPr>
          <w:rFonts w:hint="eastAsia" w:ascii="宋体" w:hAnsi="宋体" w:eastAsia="宋体" w:cs="宋体"/>
          <w:bCs/>
          <w:sz w:val="28"/>
          <w:szCs w:val="28"/>
        </w:rPr>
      </w:pPr>
      <w:r>
        <w:rPr>
          <w:rFonts w:hint="eastAsia" w:ascii="宋体" w:hAnsi="宋体" w:eastAsia="宋体" w:cs="宋体"/>
          <w:bCs/>
          <w:sz w:val="28"/>
          <w:szCs w:val="28"/>
        </w:rPr>
        <w:t>在</w:t>
      </w:r>
      <w:r>
        <w:rPr>
          <w:rFonts w:hint="eastAsia" w:ascii="宋体" w:hAnsi="宋体" w:eastAsia="宋体" w:cs="宋体"/>
          <w:sz w:val="28"/>
          <w:szCs w:val="28"/>
        </w:rPr>
        <w:t>投标截止时间节点，没有被“信用中国”、“中国政府采购网”、“信用江苏”网站列入失信被执行人、重大税收违法案件当事人名单、政府采购严重违法失信行为记录名单。</w:t>
      </w:r>
    </w:p>
    <w:p>
      <w:pPr>
        <w:spacing w:line="460" w:lineRule="exact"/>
        <w:rPr>
          <w:rFonts w:hint="eastAsia" w:ascii="宋体" w:hAnsi="宋体" w:eastAsia="宋体" w:cs="宋体"/>
          <w:bCs/>
          <w:sz w:val="28"/>
          <w:szCs w:val="28"/>
        </w:rPr>
      </w:pPr>
    </w:p>
    <w:p>
      <w:pPr>
        <w:spacing w:line="460" w:lineRule="exact"/>
        <w:jc w:val="center"/>
        <w:rPr>
          <w:rFonts w:hint="eastAsia" w:ascii="宋体" w:hAnsi="宋体" w:eastAsia="宋体" w:cs="宋体"/>
          <w:bCs/>
          <w:sz w:val="28"/>
          <w:szCs w:val="28"/>
          <w:u w:val="single"/>
        </w:rPr>
      </w:pPr>
      <w:r>
        <w:rPr>
          <w:rFonts w:hint="eastAsia" w:ascii="宋体" w:hAnsi="宋体" w:eastAsia="宋体" w:cs="宋体"/>
          <w:bCs/>
          <w:sz w:val="28"/>
          <w:szCs w:val="28"/>
        </w:rPr>
        <w:t>供应商名称（公章）：</w:t>
      </w:r>
      <w:r>
        <w:rPr>
          <w:rFonts w:hint="eastAsia" w:ascii="宋体" w:hAnsi="宋体" w:eastAsia="宋体" w:cs="宋体"/>
          <w:bCs/>
          <w:sz w:val="28"/>
          <w:szCs w:val="28"/>
          <w:u w:val="single"/>
        </w:rPr>
        <w:t xml:space="preserve">                   </w:t>
      </w:r>
    </w:p>
    <w:p>
      <w:pPr>
        <w:spacing w:line="460" w:lineRule="exact"/>
        <w:rPr>
          <w:rFonts w:hint="eastAsia" w:ascii="宋体" w:hAnsi="宋体" w:eastAsia="宋体" w:cs="宋体"/>
          <w:bCs/>
          <w:sz w:val="28"/>
          <w:szCs w:val="28"/>
          <w:u w:val="single"/>
        </w:rPr>
      </w:pPr>
      <w:r>
        <w:rPr>
          <w:rFonts w:hint="eastAsia" w:ascii="宋体" w:hAnsi="宋体" w:eastAsia="宋体" w:cs="宋体"/>
          <w:bCs/>
          <w:sz w:val="28"/>
          <w:szCs w:val="28"/>
        </w:rPr>
        <w:t xml:space="preserve">                                 授权代表签字：</w:t>
      </w:r>
      <w:r>
        <w:rPr>
          <w:rFonts w:hint="eastAsia" w:ascii="宋体" w:hAnsi="宋体" w:eastAsia="宋体" w:cs="宋体"/>
          <w:bCs/>
          <w:sz w:val="28"/>
          <w:szCs w:val="28"/>
          <w:u w:val="single"/>
        </w:rPr>
        <w:t xml:space="preserve">                 </w:t>
      </w:r>
    </w:p>
    <w:p>
      <w:pPr>
        <w:spacing w:line="460" w:lineRule="exact"/>
        <w:rPr>
          <w:rFonts w:hint="eastAsia" w:ascii="宋体" w:hAnsi="宋体" w:eastAsia="宋体" w:cs="宋体"/>
          <w:bCs/>
          <w:sz w:val="28"/>
          <w:szCs w:val="28"/>
        </w:rPr>
      </w:pPr>
      <w:r>
        <w:rPr>
          <w:rFonts w:hint="eastAsia" w:ascii="宋体" w:hAnsi="宋体" w:eastAsia="宋体" w:cs="宋体"/>
          <w:bCs/>
          <w:sz w:val="28"/>
          <w:szCs w:val="28"/>
        </w:rPr>
        <w:t xml:space="preserve">                                 日期：</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年</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月</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日</w:t>
      </w:r>
    </w:p>
    <w:p>
      <w:pPr>
        <w:spacing w:line="500" w:lineRule="exact"/>
        <w:rPr>
          <w:rFonts w:hint="eastAsia" w:ascii="宋体" w:hAnsi="宋体" w:eastAsia="宋体" w:cs="宋体"/>
          <w:sz w:val="28"/>
          <w:szCs w:val="28"/>
        </w:rPr>
      </w:pPr>
    </w:p>
    <w:p>
      <w:pPr>
        <w:spacing w:line="500" w:lineRule="exact"/>
        <w:rPr>
          <w:rFonts w:hint="eastAsia" w:ascii="宋体" w:hAnsi="宋体" w:eastAsia="宋体" w:cs="宋体"/>
          <w:sz w:val="28"/>
          <w:szCs w:val="28"/>
        </w:rPr>
      </w:pPr>
    </w:p>
    <w:p>
      <w:pPr>
        <w:spacing w:line="500" w:lineRule="exact"/>
        <w:rPr>
          <w:rFonts w:hint="eastAsia" w:ascii="宋体" w:hAnsi="宋体" w:eastAsia="宋体" w:cs="宋体"/>
          <w:sz w:val="28"/>
          <w:szCs w:val="28"/>
        </w:rPr>
      </w:pPr>
    </w:p>
    <w:p>
      <w:pPr>
        <w:spacing w:line="500" w:lineRule="exact"/>
        <w:rPr>
          <w:rFonts w:hint="eastAsia" w:ascii="宋体" w:hAnsi="宋体" w:eastAsia="宋体" w:cs="宋体"/>
          <w:sz w:val="28"/>
          <w:szCs w:val="28"/>
        </w:rPr>
      </w:pPr>
    </w:p>
    <w:p>
      <w:pPr>
        <w:spacing w:line="500" w:lineRule="exact"/>
        <w:rPr>
          <w:rFonts w:hint="eastAsia" w:ascii="宋体" w:hAnsi="宋体" w:eastAsia="宋体" w:cs="宋体"/>
          <w:sz w:val="28"/>
          <w:szCs w:val="28"/>
        </w:rPr>
      </w:pPr>
    </w:p>
    <w:p>
      <w:pPr>
        <w:spacing w:line="500" w:lineRule="exact"/>
        <w:rPr>
          <w:rFonts w:hint="eastAsia" w:ascii="宋体" w:hAnsi="宋体" w:eastAsia="宋体" w:cs="宋体"/>
          <w:sz w:val="28"/>
          <w:szCs w:val="28"/>
        </w:rPr>
      </w:pPr>
    </w:p>
    <w:p>
      <w:pPr>
        <w:spacing w:line="500" w:lineRule="exact"/>
        <w:rPr>
          <w:rFonts w:hint="eastAsia" w:ascii="宋体" w:hAnsi="宋体" w:eastAsia="宋体" w:cs="宋体"/>
          <w:sz w:val="28"/>
          <w:szCs w:val="28"/>
        </w:rPr>
      </w:pPr>
    </w:p>
    <w:p>
      <w:pPr>
        <w:spacing w:line="500" w:lineRule="exact"/>
        <w:rPr>
          <w:rFonts w:hint="eastAsia" w:ascii="宋体" w:hAnsi="宋体" w:eastAsia="宋体" w:cs="宋体"/>
          <w:sz w:val="28"/>
          <w:szCs w:val="28"/>
        </w:rPr>
      </w:pPr>
    </w:p>
    <w:p>
      <w:pPr>
        <w:spacing w:line="500" w:lineRule="exact"/>
        <w:rPr>
          <w:rFonts w:hint="eastAsia" w:ascii="宋体" w:hAnsi="宋体" w:eastAsia="宋体" w:cs="宋体"/>
          <w:sz w:val="28"/>
          <w:szCs w:val="28"/>
        </w:rPr>
      </w:pPr>
    </w:p>
    <w:p>
      <w:pPr>
        <w:spacing w:line="500" w:lineRule="exact"/>
        <w:rPr>
          <w:rFonts w:hint="eastAsia" w:ascii="宋体" w:hAnsi="宋体" w:eastAsia="宋体" w:cs="宋体"/>
          <w:sz w:val="28"/>
          <w:szCs w:val="28"/>
        </w:rPr>
      </w:pPr>
    </w:p>
    <w:p>
      <w:pPr>
        <w:rPr>
          <w:rFonts w:hint="eastAsia" w:ascii="宋体" w:hAnsi="宋体" w:eastAsia="宋体" w:cs="宋体"/>
          <w:sz w:val="28"/>
          <w:szCs w:val="28"/>
        </w:rPr>
        <w:sectPr>
          <w:pgSz w:w="11906" w:h="16838"/>
          <w:pgMar w:top="1440" w:right="1800" w:bottom="1440" w:left="1800" w:header="851" w:footer="992" w:gutter="0"/>
          <w:cols w:space="425" w:num="1"/>
          <w:docGrid w:type="lines" w:linePitch="312" w:charSpace="0"/>
        </w:sectPr>
      </w:pPr>
    </w:p>
    <w:p>
      <w:pPr>
        <w:rPr>
          <w:rFonts w:hint="eastAsia" w:ascii="宋体" w:hAnsi="宋体" w:eastAsia="宋体" w:cs="宋体"/>
          <w:sz w:val="28"/>
          <w:szCs w:val="28"/>
        </w:rPr>
      </w:pPr>
      <w:r>
        <w:rPr>
          <w:rFonts w:hint="eastAsia" w:ascii="宋体" w:hAnsi="宋体" w:eastAsia="宋体" w:cs="宋体"/>
          <w:sz w:val="28"/>
          <w:szCs w:val="28"/>
        </w:rPr>
        <w:t>附件四：</w:t>
      </w:r>
    </w:p>
    <w:p>
      <w:pPr>
        <w:snapToGrid w:val="0"/>
        <w:spacing w:line="440" w:lineRule="exact"/>
        <w:jc w:val="center"/>
        <w:rPr>
          <w:rFonts w:hint="eastAsia" w:ascii="宋体" w:hAnsi="宋体" w:eastAsia="宋体" w:cs="宋体"/>
          <w:b/>
          <w:bCs/>
          <w:sz w:val="28"/>
          <w:szCs w:val="24"/>
        </w:rPr>
      </w:pPr>
      <w:r>
        <w:rPr>
          <w:rFonts w:hint="eastAsia" w:ascii="宋体" w:hAnsi="宋体" w:eastAsia="宋体" w:cs="宋体"/>
          <w:b/>
          <w:bCs/>
          <w:sz w:val="28"/>
          <w:szCs w:val="24"/>
        </w:rPr>
        <w:t>服 务 承 诺 书</w:t>
      </w:r>
    </w:p>
    <w:p>
      <w:pPr>
        <w:snapToGrid w:val="0"/>
        <w:spacing w:line="540" w:lineRule="exact"/>
        <w:rPr>
          <w:rFonts w:hint="eastAsia" w:ascii="宋体" w:hAnsi="宋体" w:eastAsia="宋体" w:cs="宋体"/>
          <w:sz w:val="28"/>
          <w:szCs w:val="24"/>
        </w:rPr>
      </w:pPr>
    </w:p>
    <w:p>
      <w:pPr>
        <w:snapToGrid w:val="0"/>
        <w:spacing w:line="540" w:lineRule="exact"/>
        <w:rPr>
          <w:rFonts w:hint="eastAsia" w:ascii="宋体" w:hAnsi="宋体" w:eastAsia="宋体" w:cs="宋体"/>
          <w:i w:val="0"/>
          <w:iCs w:val="0"/>
          <w:sz w:val="28"/>
          <w:szCs w:val="28"/>
          <w:u w:val="single"/>
        </w:rPr>
      </w:pPr>
      <w:r>
        <w:rPr>
          <w:rFonts w:hint="eastAsia" w:ascii="宋体" w:hAnsi="宋体" w:eastAsia="宋体" w:cs="宋体"/>
          <w:i w:val="0"/>
          <w:iCs w:val="0"/>
          <w:sz w:val="28"/>
          <w:szCs w:val="28"/>
          <w:u w:val="single"/>
          <w:lang w:eastAsia="zh-CN"/>
        </w:rPr>
        <w:t>启东市党风廉政建设教育中心</w:t>
      </w:r>
      <w:r>
        <w:rPr>
          <w:rFonts w:hint="eastAsia" w:ascii="宋体" w:hAnsi="宋体" w:eastAsia="宋体" w:cs="宋体"/>
          <w:i w:val="0"/>
          <w:iCs w:val="0"/>
          <w:sz w:val="28"/>
          <w:szCs w:val="28"/>
          <w:u w:val="single"/>
        </w:rPr>
        <w:t>：</w:t>
      </w:r>
    </w:p>
    <w:p>
      <w:pPr>
        <w:snapToGrid w:val="0"/>
        <w:spacing w:line="540" w:lineRule="exact"/>
        <w:ind w:firstLine="560" w:firstLineChars="200"/>
        <w:rPr>
          <w:rFonts w:hint="eastAsia" w:ascii="宋体" w:hAnsi="宋体" w:eastAsia="宋体" w:cs="宋体"/>
          <w:b/>
          <w:bCs/>
          <w:sz w:val="28"/>
          <w:szCs w:val="28"/>
          <w:u w:val="single"/>
        </w:rPr>
      </w:pPr>
      <w:r>
        <w:rPr>
          <w:rFonts w:hint="eastAsia" w:ascii="宋体" w:hAnsi="宋体" w:eastAsia="宋体" w:cs="宋体"/>
          <w:i w:val="0"/>
          <w:iCs w:val="0"/>
          <w:sz w:val="28"/>
          <w:szCs w:val="28"/>
          <w:u w:val="single"/>
        </w:rPr>
        <w:t>（报价供应商全称）</w:t>
      </w:r>
      <w:r>
        <w:rPr>
          <w:rFonts w:hint="eastAsia" w:ascii="宋体" w:hAnsi="宋体" w:eastAsia="宋体" w:cs="宋体"/>
          <w:sz w:val="28"/>
          <w:szCs w:val="28"/>
        </w:rPr>
        <w:t>授权</w:t>
      </w:r>
      <w:r>
        <w:rPr>
          <w:rFonts w:hint="eastAsia" w:ascii="宋体" w:hAnsi="宋体" w:eastAsia="宋体" w:cs="宋体"/>
          <w:sz w:val="28"/>
          <w:szCs w:val="28"/>
          <w:u w:val="single"/>
        </w:rPr>
        <w:t>（姓  名）（职  务）</w:t>
      </w:r>
      <w:r>
        <w:rPr>
          <w:rFonts w:hint="eastAsia" w:ascii="宋体" w:hAnsi="宋体" w:eastAsia="宋体" w:cs="宋体"/>
          <w:sz w:val="28"/>
          <w:szCs w:val="28"/>
        </w:rPr>
        <w:t>为全权代表，参加</w:t>
      </w:r>
      <w:r>
        <w:rPr>
          <w:rFonts w:hint="eastAsia" w:ascii="宋体" w:hAnsi="宋体" w:eastAsia="宋体" w:cs="宋体"/>
          <w:b/>
          <w:bCs/>
          <w:sz w:val="28"/>
          <w:szCs w:val="28"/>
          <w:u w:val="single"/>
          <w:lang w:eastAsia="zh-CN"/>
        </w:rPr>
        <w:t>启东市党风廉政建设教育中心电梯维保项目（</w:t>
      </w:r>
      <w:r>
        <w:rPr>
          <w:rFonts w:hint="eastAsia" w:ascii="宋体" w:hAnsi="宋体" w:eastAsia="宋体" w:cs="宋体"/>
          <w:b/>
          <w:bCs/>
          <w:sz w:val="28"/>
          <w:szCs w:val="28"/>
          <w:u w:val="single"/>
          <w:lang w:val="en-US" w:eastAsia="zh-CN"/>
        </w:rPr>
        <w:t>第二次</w:t>
      </w:r>
      <w:r>
        <w:rPr>
          <w:rFonts w:hint="eastAsia" w:ascii="宋体" w:hAnsi="宋体" w:eastAsia="宋体" w:cs="宋体"/>
          <w:b/>
          <w:bCs/>
          <w:sz w:val="28"/>
          <w:szCs w:val="28"/>
          <w:u w:val="single"/>
          <w:lang w:eastAsia="zh-CN"/>
        </w:rPr>
        <w:t>）</w:t>
      </w:r>
      <w:r>
        <w:rPr>
          <w:rFonts w:hint="eastAsia" w:ascii="宋体" w:hAnsi="宋体" w:eastAsia="宋体" w:cs="宋体"/>
          <w:sz w:val="28"/>
          <w:szCs w:val="28"/>
        </w:rPr>
        <w:t>谈判的有关活动，并宣布同意如下：</w:t>
      </w:r>
    </w:p>
    <w:p>
      <w:pPr>
        <w:snapToGrid w:val="0"/>
        <w:spacing w:line="540" w:lineRule="exact"/>
        <w:ind w:firstLine="560" w:firstLineChars="200"/>
        <w:rPr>
          <w:rFonts w:hint="eastAsia" w:ascii="宋体" w:hAnsi="宋体" w:eastAsia="宋体" w:cs="宋体"/>
          <w:sz w:val="28"/>
        </w:rPr>
      </w:pPr>
      <w:r>
        <w:rPr>
          <w:rFonts w:hint="eastAsia" w:ascii="宋体" w:hAnsi="宋体" w:eastAsia="宋体" w:cs="宋体"/>
          <w:sz w:val="28"/>
        </w:rPr>
        <w:t>1.我们将严格履行谈判文件中规定的每一项要求，严格履行合同的责任和义务，保证按期、按质履行合同，完成本项目的全部工作。</w:t>
      </w:r>
    </w:p>
    <w:p>
      <w:pPr>
        <w:snapToGrid w:val="0"/>
        <w:spacing w:line="540" w:lineRule="exact"/>
        <w:ind w:firstLine="560" w:firstLineChars="200"/>
        <w:rPr>
          <w:rFonts w:hint="eastAsia" w:ascii="宋体" w:hAnsi="宋体" w:eastAsia="宋体" w:cs="宋体"/>
          <w:sz w:val="28"/>
        </w:rPr>
      </w:pPr>
      <w:r>
        <w:rPr>
          <w:rFonts w:hint="eastAsia" w:ascii="宋体" w:hAnsi="宋体" w:eastAsia="宋体" w:cs="宋体"/>
          <w:sz w:val="28"/>
        </w:rPr>
        <w:t>2.我们愿意提供</w:t>
      </w:r>
      <w:r>
        <w:rPr>
          <w:rFonts w:hint="eastAsia" w:ascii="宋体" w:hAnsi="宋体" w:eastAsia="宋体" w:cs="Times New Roman"/>
          <w:sz w:val="28"/>
          <w:szCs w:val="28"/>
        </w:rPr>
        <w:t>招标方在竞谈</w:t>
      </w:r>
      <w:r>
        <w:rPr>
          <w:rFonts w:hint="eastAsia" w:ascii="宋体" w:hAnsi="宋体" w:eastAsia="宋体" w:cs="宋体"/>
          <w:sz w:val="28"/>
        </w:rPr>
        <w:t>文件中要求的所有资料。也同意向贵方提供贵方可能另外要求的与其投标有关的任何证据或资料。</w:t>
      </w:r>
    </w:p>
    <w:p>
      <w:pPr>
        <w:snapToGrid w:val="0"/>
        <w:spacing w:line="540" w:lineRule="exact"/>
        <w:ind w:firstLine="560" w:firstLineChars="200"/>
        <w:rPr>
          <w:rFonts w:hint="eastAsia" w:ascii="宋体" w:hAnsi="宋体" w:eastAsia="宋体" w:cs="宋体"/>
          <w:sz w:val="28"/>
          <w:szCs w:val="28"/>
        </w:rPr>
      </w:pPr>
      <w:r>
        <w:rPr>
          <w:rFonts w:hint="eastAsia" w:ascii="宋体" w:hAnsi="宋体" w:eastAsia="宋体" w:cs="宋体"/>
          <w:sz w:val="28"/>
        </w:rPr>
        <w:t>3.</w:t>
      </w:r>
      <w:r>
        <w:rPr>
          <w:rFonts w:hint="eastAsia" w:ascii="宋体" w:hAnsi="宋体" w:eastAsia="宋体" w:cs="宋体"/>
          <w:sz w:val="28"/>
          <w:szCs w:val="28"/>
        </w:rPr>
        <w:t>与本项目有关的一切往来通讯请寄：</w:t>
      </w:r>
    </w:p>
    <w:p>
      <w:pPr>
        <w:snapToGrid w:val="0"/>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地址：　　　　　　　　　　　　　邮编：</w:t>
      </w:r>
    </w:p>
    <w:p>
      <w:pPr>
        <w:snapToGrid w:val="0"/>
        <w:spacing w:line="540" w:lineRule="exact"/>
        <w:rPr>
          <w:rFonts w:hint="eastAsia" w:ascii="宋体" w:hAnsi="宋体" w:eastAsia="宋体" w:cs="宋体"/>
          <w:sz w:val="28"/>
          <w:szCs w:val="28"/>
        </w:rPr>
      </w:pPr>
      <w:r>
        <w:rPr>
          <w:rFonts w:hint="eastAsia" w:ascii="宋体" w:hAnsi="宋体" w:eastAsia="宋体" w:cs="宋体"/>
          <w:sz w:val="28"/>
          <w:szCs w:val="28"/>
        </w:rPr>
        <w:t xml:space="preserve">    电话：　　　　　　　　　　　　　传真：</w:t>
      </w:r>
    </w:p>
    <w:p>
      <w:pPr>
        <w:snapToGrid w:val="0"/>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报价单位代表：　　　　　　　　  职务：</w:t>
      </w:r>
    </w:p>
    <w:p>
      <w:pPr>
        <w:snapToGrid w:val="0"/>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报价单位代表移动电话：</w:t>
      </w:r>
    </w:p>
    <w:p>
      <w:pPr>
        <w:snapToGrid w:val="0"/>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报价单位名称（加盖单位公章）：</w:t>
      </w:r>
    </w:p>
    <w:p>
      <w:pPr>
        <w:snapToGrid w:val="0"/>
        <w:spacing w:line="540" w:lineRule="exact"/>
        <w:rPr>
          <w:rFonts w:hint="eastAsia" w:ascii="宋体" w:hAnsi="宋体" w:eastAsia="宋体" w:cs="宋体"/>
          <w:sz w:val="28"/>
          <w:szCs w:val="28"/>
        </w:rPr>
      </w:pPr>
    </w:p>
    <w:p>
      <w:pPr>
        <w:widowControl/>
        <w:spacing w:line="400" w:lineRule="exact"/>
        <w:rPr>
          <w:rFonts w:hint="eastAsia" w:ascii="宋体" w:hAnsi="宋体" w:eastAsia="宋体" w:cs="宋体"/>
          <w:kern w:val="0"/>
          <w:sz w:val="28"/>
          <w:szCs w:val="28"/>
        </w:rPr>
      </w:pPr>
      <w:r>
        <w:rPr>
          <w:rFonts w:hint="eastAsia" w:ascii="宋体" w:hAnsi="宋体" w:eastAsia="宋体" w:cs="宋体"/>
          <w:kern w:val="0"/>
          <w:sz w:val="28"/>
          <w:szCs w:val="28"/>
        </w:rPr>
        <w:t xml:space="preserve">                                             年    月    日</w:t>
      </w:r>
    </w:p>
    <w:p>
      <w:pPr>
        <w:spacing w:line="500" w:lineRule="exact"/>
        <w:rPr>
          <w:rFonts w:hint="eastAsia" w:ascii="宋体" w:hAnsi="宋体" w:eastAsia="宋体" w:cs="宋体"/>
          <w:sz w:val="28"/>
          <w:szCs w:val="28"/>
        </w:rPr>
      </w:pPr>
    </w:p>
    <w:p>
      <w:pPr>
        <w:pStyle w:val="11"/>
        <w:rPr>
          <w:rFonts w:hint="eastAsia" w:ascii="宋体" w:hAnsi="宋体" w:eastAsia="宋体" w:cs="宋体"/>
        </w:rPr>
      </w:pPr>
    </w:p>
    <w:p>
      <w:pPr>
        <w:rPr>
          <w:rFonts w:hint="eastAsia" w:ascii="宋体" w:hAnsi="宋体" w:eastAsia="宋体" w:cs="宋体"/>
        </w:rPr>
      </w:pPr>
    </w:p>
    <w:p>
      <w:pPr>
        <w:pStyle w:val="11"/>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spacing w:line="500" w:lineRule="exact"/>
        <w:rPr>
          <w:rFonts w:hint="eastAsia" w:ascii="宋体" w:hAnsi="宋体" w:eastAsia="宋体" w:cs="宋体"/>
          <w:sz w:val="28"/>
          <w:szCs w:val="28"/>
        </w:rPr>
        <w:sectPr>
          <w:pgSz w:w="11906" w:h="16838"/>
          <w:pgMar w:top="1440" w:right="1800" w:bottom="1440" w:left="1800" w:header="851" w:footer="992" w:gutter="0"/>
          <w:cols w:space="425" w:num="1"/>
          <w:docGrid w:type="lines" w:linePitch="312" w:charSpace="0"/>
        </w:sectPr>
      </w:pPr>
    </w:p>
    <w:p>
      <w:pPr>
        <w:spacing w:line="500" w:lineRule="exact"/>
        <w:rPr>
          <w:rFonts w:hint="eastAsia" w:ascii="宋体" w:hAnsi="宋体" w:eastAsia="宋体" w:cs="宋体"/>
          <w:sz w:val="28"/>
          <w:szCs w:val="28"/>
          <w:shd w:val="clear" w:color="auto" w:fill="FFFFFF"/>
        </w:rPr>
      </w:pPr>
      <w:r>
        <w:rPr>
          <w:rFonts w:hint="eastAsia" w:ascii="宋体" w:hAnsi="宋体" w:eastAsia="宋体" w:cs="宋体"/>
          <w:sz w:val="28"/>
          <w:szCs w:val="28"/>
        </w:rPr>
        <w:t>附件五：</w:t>
      </w:r>
    </w:p>
    <w:p>
      <w:pPr>
        <w:spacing w:line="500" w:lineRule="exact"/>
        <w:jc w:val="center"/>
        <w:rPr>
          <w:rFonts w:hint="eastAsia" w:ascii="宋体" w:hAnsi="宋体" w:eastAsia="宋体" w:cs="宋体"/>
          <w:b/>
          <w:sz w:val="32"/>
          <w:szCs w:val="32"/>
        </w:rPr>
      </w:pPr>
      <w:r>
        <w:rPr>
          <w:rFonts w:hint="eastAsia" w:ascii="宋体" w:hAnsi="宋体" w:eastAsia="宋体" w:cs="宋体"/>
          <w:b/>
          <w:sz w:val="32"/>
          <w:szCs w:val="32"/>
          <w:lang w:val="en-US" w:eastAsia="zh-CN"/>
        </w:rPr>
        <w:t>投标</w:t>
      </w:r>
      <w:r>
        <w:rPr>
          <w:rFonts w:hint="eastAsia" w:ascii="宋体" w:hAnsi="宋体" w:eastAsia="宋体" w:cs="宋体"/>
          <w:b/>
          <w:sz w:val="32"/>
          <w:szCs w:val="32"/>
        </w:rPr>
        <w:t>报价表</w:t>
      </w:r>
    </w:p>
    <w:p>
      <w:pPr>
        <w:pStyle w:val="2"/>
        <w:rPr>
          <w:rFonts w:hint="eastAsia"/>
        </w:rPr>
      </w:pPr>
    </w:p>
    <w:tbl>
      <w:tblPr>
        <w:tblStyle w:val="4"/>
        <w:tblW w:w="8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5"/>
        <w:gridCol w:w="2753"/>
        <w:gridCol w:w="1678"/>
        <w:gridCol w:w="3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0"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pPr>
              <w:snapToGrid w:val="0"/>
              <w:spacing w:after="0" w:line="240" w:lineRule="atLeast"/>
              <w:jc w:val="center"/>
              <w:rPr>
                <w:rFonts w:hint="eastAsia" w:ascii="宋体" w:hAnsi="宋体" w:cs="宋体"/>
                <w:b/>
                <w:bCs/>
                <w:sz w:val="24"/>
                <w:szCs w:val="24"/>
              </w:rPr>
            </w:pPr>
            <w:r>
              <w:rPr>
                <w:rFonts w:hint="eastAsia" w:ascii="宋体" w:hAnsi="宋体" w:cs="宋体"/>
                <w:b/>
                <w:bCs/>
                <w:sz w:val="24"/>
                <w:szCs w:val="24"/>
              </w:rPr>
              <w:t>序号</w:t>
            </w:r>
          </w:p>
        </w:tc>
        <w:tc>
          <w:tcPr>
            <w:tcW w:w="2753" w:type="dxa"/>
            <w:tcBorders>
              <w:top w:val="single" w:color="auto" w:sz="4" w:space="0"/>
              <w:left w:val="single" w:color="auto" w:sz="4" w:space="0"/>
              <w:bottom w:val="single" w:color="auto" w:sz="4" w:space="0"/>
              <w:right w:val="single" w:color="auto" w:sz="4" w:space="0"/>
            </w:tcBorders>
            <w:noWrap w:val="0"/>
            <w:vAlign w:val="center"/>
          </w:tcPr>
          <w:p>
            <w:pPr>
              <w:snapToGrid w:val="0"/>
              <w:spacing w:after="0" w:line="240" w:lineRule="atLeast"/>
              <w:jc w:val="center"/>
              <w:rPr>
                <w:rFonts w:hint="eastAsia" w:ascii="宋体" w:hAnsi="宋体" w:cs="宋体"/>
                <w:b/>
                <w:bCs/>
                <w:sz w:val="24"/>
                <w:szCs w:val="24"/>
              </w:rPr>
            </w:pPr>
            <w:r>
              <w:rPr>
                <w:rFonts w:hint="eastAsia" w:ascii="宋体" w:hAnsi="宋体" w:cs="宋体"/>
                <w:b/>
                <w:bCs/>
                <w:sz w:val="24"/>
                <w:szCs w:val="24"/>
              </w:rPr>
              <w:t>项目名称</w:t>
            </w:r>
          </w:p>
        </w:tc>
        <w:tc>
          <w:tcPr>
            <w:tcW w:w="1678" w:type="dxa"/>
            <w:tcBorders>
              <w:top w:val="single" w:color="auto" w:sz="4" w:space="0"/>
              <w:left w:val="single" w:color="auto" w:sz="4" w:space="0"/>
              <w:bottom w:val="single" w:color="auto" w:sz="4" w:space="0"/>
              <w:right w:val="single" w:color="auto" w:sz="4" w:space="0"/>
            </w:tcBorders>
            <w:noWrap w:val="0"/>
            <w:vAlign w:val="center"/>
          </w:tcPr>
          <w:p>
            <w:pPr>
              <w:snapToGrid w:val="0"/>
              <w:spacing w:after="0" w:line="240" w:lineRule="atLeast"/>
              <w:ind w:firstLine="120" w:firstLineChars="50"/>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服务期</w:t>
            </w:r>
          </w:p>
        </w:tc>
        <w:tc>
          <w:tcPr>
            <w:tcW w:w="3355" w:type="dxa"/>
            <w:tcBorders>
              <w:top w:val="single" w:color="auto" w:sz="4" w:space="0"/>
              <w:left w:val="single" w:color="auto" w:sz="4" w:space="0"/>
              <w:bottom w:val="single" w:color="auto" w:sz="4" w:space="0"/>
              <w:right w:val="single" w:color="auto" w:sz="4" w:space="0"/>
            </w:tcBorders>
            <w:noWrap w:val="0"/>
            <w:vAlign w:val="center"/>
          </w:tcPr>
          <w:p>
            <w:pPr>
              <w:snapToGrid w:val="0"/>
              <w:spacing w:after="0" w:line="240" w:lineRule="atLeast"/>
              <w:jc w:val="center"/>
              <w:rPr>
                <w:rFonts w:hint="eastAsia" w:ascii="宋体" w:hAnsi="宋体" w:cs="宋体"/>
                <w:b/>
                <w:bCs/>
                <w:sz w:val="24"/>
                <w:szCs w:val="24"/>
              </w:rPr>
            </w:pPr>
            <w:r>
              <w:rPr>
                <w:rFonts w:hint="eastAsia" w:ascii="宋体" w:hAnsi="宋体" w:cs="宋体"/>
                <w:b/>
                <w:bCs/>
                <w:sz w:val="24"/>
                <w:szCs w:val="24"/>
                <w:lang w:val="en-US" w:eastAsia="zh-CN"/>
              </w:rPr>
              <w:t>维保</w:t>
            </w:r>
            <w:r>
              <w:rPr>
                <w:rFonts w:hint="eastAsia" w:ascii="宋体" w:hAnsi="宋体" w:cs="宋体"/>
                <w:b/>
                <w:bCs/>
                <w:sz w:val="24"/>
                <w:szCs w:val="24"/>
              </w:rPr>
              <w:t>费（元/年）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5" w:hRule="atLeast"/>
        </w:trPr>
        <w:tc>
          <w:tcPr>
            <w:tcW w:w="835" w:type="dxa"/>
            <w:tcBorders>
              <w:left w:val="single" w:color="auto" w:sz="4" w:space="0"/>
              <w:right w:val="single" w:color="auto" w:sz="4" w:space="0"/>
            </w:tcBorders>
            <w:noWrap w:val="0"/>
            <w:vAlign w:val="center"/>
          </w:tcPr>
          <w:p>
            <w:pPr>
              <w:snapToGrid w:val="0"/>
              <w:spacing w:after="0" w:line="240" w:lineRule="atLeast"/>
              <w:jc w:val="center"/>
              <w:rPr>
                <w:rFonts w:hint="eastAsia" w:ascii="宋体" w:hAnsi="宋体" w:cs="宋体"/>
                <w:b w:val="0"/>
                <w:bCs w:val="0"/>
                <w:sz w:val="24"/>
                <w:szCs w:val="24"/>
              </w:rPr>
            </w:pPr>
            <w:r>
              <w:rPr>
                <w:rFonts w:hint="eastAsia" w:ascii="宋体" w:hAnsi="宋体" w:cs="宋体"/>
                <w:b w:val="0"/>
                <w:bCs w:val="0"/>
                <w:sz w:val="24"/>
                <w:szCs w:val="24"/>
              </w:rPr>
              <w:t>1</w:t>
            </w:r>
          </w:p>
        </w:tc>
        <w:tc>
          <w:tcPr>
            <w:tcW w:w="2753" w:type="dxa"/>
            <w:tcBorders>
              <w:left w:val="single" w:color="auto" w:sz="4" w:space="0"/>
              <w:right w:val="single" w:color="auto" w:sz="4" w:space="0"/>
            </w:tcBorders>
            <w:noWrap w:val="0"/>
            <w:vAlign w:val="center"/>
          </w:tcPr>
          <w:p>
            <w:pPr>
              <w:snapToGrid w:val="0"/>
              <w:spacing w:after="0" w:line="240" w:lineRule="atLeast"/>
              <w:ind w:firstLine="120" w:firstLineChars="50"/>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启东市党风廉政建设教育中心电梯维保项目（</w:t>
            </w:r>
            <w:r>
              <w:rPr>
                <w:rFonts w:hint="eastAsia" w:ascii="宋体" w:hAnsi="宋体" w:eastAsia="宋体" w:cs="宋体"/>
                <w:b w:val="0"/>
                <w:bCs w:val="0"/>
                <w:sz w:val="24"/>
                <w:szCs w:val="24"/>
                <w:lang w:val="en-US" w:eastAsia="zh-CN"/>
              </w:rPr>
              <w:t>第二次</w:t>
            </w:r>
            <w:r>
              <w:rPr>
                <w:rFonts w:hint="eastAsia" w:ascii="宋体" w:hAnsi="宋体" w:eastAsia="宋体" w:cs="宋体"/>
                <w:b w:val="0"/>
                <w:bCs w:val="0"/>
                <w:sz w:val="24"/>
                <w:szCs w:val="24"/>
                <w:lang w:eastAsia="zh-CN"/>
              </w:rPr>
              <w:t>）</w:t>
            </w:r>
          </w:p>
        </w:tc>
        <w:tc>
          <w:tcPr>
            <w:tcW w:w="1678" w:type="dxa"/>
            <w:tcBorders>
              <w:left w:val="single" w:color="auto" w:sz="4" w:space="0"/>
              <w:right w:val="single" w:color="auto" w:sz="4" w:space="0"/>
            </w:tcBorders>
            <w:noWrap w:val="0"/>
            <w:vAlign w:val="center"/>
          </w:tcPr>
          <w:p>
            <w:pPr>
              <w:snapToGrid w:val="0"/>
              <w:spacing w:after="0" w:line="240" w:lineRule="atLeast"/>
              <w:jc w:val="center"/>
              <w:rPr>
                <w:rFonts w:hint="eastAsia" w:ascii="宋体" w:hAnsi="宋体" w:cs="宋体"/>
                <w:b w:val="0"/>
                <w:bCs w:val="0"/>
                <w:sz w:val="24"/>
                <w:szCs w:val="24"/>
              </w:rPr>
            </w:pPr>
            <w:r>
              <w:rPr>
                <w:rFonts w:hint="eastAsia" w:ascii="宋体" w:hAnsi="宋体" w:cs="宋体"/>
                <w:b w:val="0"/>
                <w:bCs w:val="0"/>
                <w:sz w:val="24"/>
                <w:szCs w:val="24"/>
                <w:lang w:val="en-US" w:eastAsia="zh-CN"/>
              </w:rPr>
              <w:t>1</w:t>
            </w:r>
            <w:r>
              <w:rPr>
                <w:rFonts w:hint="eastAsia" w:ascii="宋体" w:hAnsi="宋体" w:cs="宋体"/>
                <w:b w:val="0"/>
                <w:bCs w:val="0"/>
                <w:sz w:val="24"/>
                <w:szCs w:val="24"/>
              </w:rPr>
              <w:t>年</w:t>
            </w:r>
          </w:p>
        </w:tc>
        <w:tc>
          <w:tcPr>
            <w:tcW w:w="3355" w:type="dxa"/>
            <w:tcBorders>
              <w:left w:val="single" w:color="auto" w:sz="4" w:space="0"/>
              <w:right w:val="single" w:color="auto" w:sz="4" w:space="0"/>
            </w:tcBorders>
            <w:noWrap w:val="0"/>
            <w:vAlign w:val="center"/>
          </w:tcPr>
          <w:p>
            <w:pPr>
              <w:snapToGrid w:val="0"/>
              <w:spacing w:after="0" w:line="240" w:lineRule="atLeast"/>
              <w:rPr>
                <w:rFonts w:hint="eastAsia" w:ascii="宋体" w:hAnsi="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trPr>
        <w:tc>
          <w:tcPr>
            <w:tcW w:w="8621" w:type="dxa"/>
            <w:gridSpan w:val="4"/>
            <w:tcBorders>
              <w:left w:val="single" w:color="auto" w:sz="4" w:space="0"/>
              <w:right w:val="single" w:color="auto" w:sz="4" w:space="0"/>
            </w:tcBorders>
            <w:noWrap w:val="0"/>
            <w:vAlign w:val="center"/>
          </w:tcPr>
          <w:p>
            <w:pPr>
              <w:snapToGrid w:val="0"/>
              <w:spacing w:after="0" w:line="240" w:lineRule="atLeast"/>
              <w:rPr>
                <w:rFonts w:hint="eastAsia"/>
                <w:b/>
                <w:bCs/>
                <w:lang w:eastAsia="zh-CN"/>
              </w:rPr>
            </w:pPr>
            <w:r>
              <w:rPr>
                <w:rFonts w:hint="eastAsia"/>
                <w:b/>
                <w:bCs/>
              </w:rPr>
              <w:t>注：本项目预算为一年度的预算，根据采购结果，采取一次招标</w:t>
            </w:r>
            <w:r>
              <w:rPr>
                <w:rFonts w:hint="eastAsia"/>
                <w:b/>
                <w:bCs/>
                <w:lang w:val="en-US" w:eastAsia="zh-CN"/>
              </w:rPr>
              <w:t>三</w:t>
            </w:r>
            <w:r>
              <w:rPr>
                <w:rFonts w:hint="eastAsia"/>
                <w:b/>
                <w:bCs/>
              </w:rPr>
              <w:t>年沿用。一年合同期满后，采购人未获得预算批复或因政策变化采购需求取消，则经采购人书面通知供应商后，合同到期终止不再续签，或受不可抗力的影响，次年预算压减，采购人也将根据新的预算重新采购，供应商自行承担相应风险。服务期自合同签订之日起一年，实行一年一考核一续签合同的办法，采购人有权单方决定是否续签后一年度合同，除政策性调整(如最低工资等)外，合同金额不作改变。如果成交供应商没有达到合同所要求履行条件之一的，则采购人有权在委托期限内随时终止合同。</w:t>
            </w:r>
          </w:p>
        </w:tc>
      </w:tr>
    </w:tbl>
    <w:p>
      <w:pPr>
        <w:spacing w:line="500" w:lineRule="exact"/>
        <w:jc w:val="center"/>
        <w:rPr>
          <w:rFonts w:hint="eastAsia" w:ascii="宋体" w:hAnsi="宋体" w:eastAsia="宋体" w:cs="宋体"/>
          <w:b/>
          <w:bCs/>
          <w:sz w:val="28"/>
          <w:szCs w:val="28"/>
        </w:rPr>
      </w:pPr>
    </w:p>
    <w:p>
      <w:pPr>
        <w:spacing w:line="500" w:lineRule="exact"/>
        <w:rPr>
          <w:rFonts w:hint="eastAsia" w:ascii="宋体" w:hAnsi="宋体" w:eastAsia="宋体" w:cs="宋体"/>
          <w:sz w:val="28"/>
          <w:szCs w:val="28"/>
        </w:rPr>
      </w:pPr>
      <w:r>
        <w:rPr>
          <w:rFonts w:hint="eastAsia" w:ascii="宋体" w:hAnsi="宋体" w:eastAsia="宋体" w:cs="宋体"/>
          <w:sz w:val="28"/>
          <w:u w:val="single"/>
        </w:rPr>
        <w:t>本报价表须机打并加盖报价单位公章，手填无效。</w:t>
      </w:r>
    </w:p>
    <w:p>
      <w:pPr>
        <w:spacing w:line="500" w:lineRule="exact"/>
        <w:rPr>
          <w:rFonts w:hint="eastAsia" w:ascii="宋体" w:hAnsi="宋体" w:eastAsia="宋体" w:cs="宋体"/>
          <w:sz w:val="28"/>
          <w:szCs w:val="28"/>
        </w:rPr>
      </w:pPr>
    </w:p>
    <w:p>
      <w:pPr>
        <w:spacing w:line="500" w:lineRule="exact"/>
        <w:rPr>
          <w:rFonts w:hint="eastAsia" w:ascii="宋体" w:hAnsi="宋体" w:eastAsia="宋体" w:cs="宋体"/>
          <w:sz w:val="28"/>
          <w:szCs w:val="28"/>
        </w:rPr>
      </w:pPr>
      <w:r>
        <w:rPr>
          <w:rFonts w:hint="eastAsia" w:ascii="宋体" w:hAnsi="宋体" w:eastAsia="宋体" w:cs="宋体"/>
          <w:sz w:val="28"/>
          <w:szCs w:val="28"/>
        </w:rPr>
        <w:t>供应商（盖章）：</w:t>
      </w:r>
    </w:p>
    <w:p>
      <w:pPr>
        <w:spacing w:line="500" w:lineRule="exact"/>
        <w:rPr>
          <w:rFonts w:hint="eastAsia" w:ascii="宋体" w:hAnsi="宋体" w:eastAsia="宋体" w:cs="宋体"/>
          <w:sz w:val="28"/>
          <w:szCs w:val="28"/>
        </w:rPr>
      </w:pPr>
      <w:r>
        <w:rPr>
          <w:rFonts w:hint="eastAsia" w:ascii="宋体" w:hAnsi="宋体" w:eastAsia="宋体" w:cs="宋体"/>
          <w:sz w:val="28"/>
          <w:szCs w:val="28"/>
        </w:rPr>
        <w:t>法定代表人或被授权人（签名）：</w:t>
      </w:r>
    </w:p>
    <w:p>
      <w:pPr>
        <w:widowControl/>
        <w:spacing w:line="5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年  月  日</w:t>
      </w:r>
    </w:p>
    <w:p>
      <w:pPr>
        <w:widowControl/>
        <w:spacing w:line="500" w:lineRule="exact"/>
        <w:jc w:val="left"/>
        <w:rPr>
          <w:rFonts w:hint="eastAsia" w:ascii="宋体" w:hAnsi="宋体" w:eastAsia="宋体" w:cs="宋体"/>
          <w:sz w:val="28"/>
          <w:szCs w:val="28"/>
        </w:rPr>
      </w:pPr>
    </w:p>
    <w:p>
      <w:pPr>
        <w:pStyle w:val="11"/>
        <w:rPr>
          <w:rFonts w:hint="eastAsia" w:ascii="宋体" w:hAnsi="宋体" w:eastAsia="宋体" w:cs="宋体"/>
        </w:rPr>
      </w:pPr>
    </w:p>
    <w:p>
      <w:pPr>
        <w:rPr>
          <w:rFonts w:hint="eastAsia" w:ascii="宋体" w:hAnsi="宋体" w:eastAsia="宋体" w:cs="宋体"/>
        </w:rPr>
      </w:pPr>
    </w:p>
    <w:p>
      <w:pPr>
        <w:pStyle w:val="11"/>
        <w:rPr>
          <w:rFonts w:hint="eastAsia" w:ascii="宋体" w:hAnsi="宋体" w:eastAsia="宋体" w:cs="宋体"/>
        </w:rPr>
      </w:pPr>
    </w:p>
    <w:p>
      <w:pPr>
        <w:rPr>
          <w:rFonts w:hint="eastAsia" w:ascii="宋体" w:hAnsi="宋体" w:eastAsia="宋体" w:cs="宋体"/>
        </w:rPr>
      </w:pPr>
    </w:p>
    <w:p>
      <w:pPr>
        <w:pStyle w:val="11"/>
        <w:rPr>
          <w:rFonts w:hint="eastAsia" w:ascii="宋体" w:hAnsi="宋体" w:eastAsia="宋体" w:cs="宋体"/>
        </w:rPr>
      </w:pPr>
    </w:p>
    <w:p>
      <w:pPr>
        <w:widowControl/>
        <w:spacing w:line="500" w:lineRule="exact"/>
        <w:jc w:val="left"/>
        <w:rPr>
          <w:rFonts w:hint="eastAsia" w:ascii="宋体" w:hAnsi="宋体" w:eastAsia="宋体" w:cs="宋体"/>
          <w:sz w:val="28"/>
          <w:szCs w:val="28"/>
        </w:rPr>
        <w:sectPr>
          <w:pgSz w:w="11906" w:h="16838"/>
          <w:pgMar w:top="1440" w:right="1800" w:bottom="1440" w:left="1800" w:header="851" w:footer="992" w:gutter="0"/>
          <w:cols w:space="425" w:num="1"/>
          <w:docGrid w:type="lines" w:linePitch="312" w:charSpace="0"/>
        </w:sectPr>
      </w:pPr>
    </w:p>
    <w:p>
      <w:pPr>
        <w:widowControl/>
        <w:spacing w:line="500" w:lineRule="exact"/>
        <w:jc w:val="left"/>
        <w:rPr>
          <w:rFonts w:hint="eastAsia" w:ascii="宋体" w:hAnsi="宋体" w:eastAsia="宋体" w:cs="宋体"/>
          <w:sz w:val="28"/>
          <w:szCs w:val="28"/>
        </w:rPr>
      </w:pPr>
      <w:r>
        <w:rPr>
          <w:rFonts w:hint="eastAsia" w:ascii="宋体" w:hAnsi="宋体" w:eastAsia="宋体" w:cs="宋体"/>
          <w:sz w:val="28"/>
          <w:szCs w:val="28"/>
        </w:rPr>
        <w:t>附件六：</w:t>
      </w:r>
    </w:p>
    <w:p>
      <w:pPr>
        <w:spacing w:after="120"/>
        <w:rPr>
          <w:rFonts w:hint="eastAsia" w:ascii="宋体" w:hAnsi="宋体" w:eastAsia="宋体" w:cs="宋体"/>
          <w:sz w:val="24"/>
          <w:szCs w:val="24"/>
        </w:rPr>
      </w:pPr>
    </w:p>
    <w:p>
      <w:pPr>
        <w:spacing w:line="380" w:lineRule="exact"/>
        <w:jc w:val="center"/>
        <w:rPr>
          <w:rFonts w:hint="eastAsia" w:ascii="宋体" w:hAnsi="宋体" w:eastAsia="宋体" w:cs="宋体"/>
          <w:b/>
          <w:sz w:val="32"/>
          <w:szCs w:val="32"/>
        </w:rPr>
      </w:pPr>
      <w:r>
        <w:rPr>
          <w:rFonts w:hint="eastAsia" w:ascii="宋体" w:hAnsi="宋体" w:eastAsia="宋体" w:cs="宋体"/>
          <w:b/>
          <w:sz w:val="32"/>
          <w:szCs w:val="32"/>
        </w:rPr>
        <w:t>最后报价一览表</w:t>
      </w:r>
    </w:p>
    <w:p>
      <w:pPr>
        <w:pStyle w:val="2"/>
        <w:rPr>
          <w:rFonts w:hint="eastAsia"/>
        </w:rPr>
      </w:pPr>
    </w:p>
    <w:tbl>
      <w:tblPr>
        <w:tblStyle w:val="4"/>
        <w:tblW w:w="8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5"/>
        <w:gridCol w:w="2753"/>
        <w:gridCol w:w="1678"/>
        <w:gridCol w:w="3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0"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pPr>
              <w:snapToGrid w:val="0"/>
              <w:spacing w:after="0" w:line="240" w:lineRule="atLeast"/>
              <w:jc w:val="center"/>
              <w:rPr>
                <w:rFonts w:hint="eastAsia" w:ascii="宋体" w:hAnsi="宋体" w:cs="宋体"/>
                <w:b/>
                <w:bCs/>
                <w:sz w:val="24"/>
                <w:szCs w:val="24"/>
              </w:rPr>
            </w:pPr>
            <w:r>
              <w:rPr>
                <w:rFonts w:hint="eastAsia" w:ascii="宋体" w:hAnsi="宋体" w:cs="宋体"/>
                <w:b/>
                <w:bCs/>
                <w:sz w:val="24"/>
                <w:szCs w:val="24"/>
              </w:rPr>
              <w:t>序号</w:t>
            </w:r>
          </w:p>
        </w:tc>
        <w:tc>
          <w:tcPr>
            <w:tcW w:w="2753" w:type="dxa"/>
            <w:tcBorders>
              <w:top w:val="single" w:color="auto" w:sz="4" w:space="0"/>
              <w:left w:val="single" w:color="auto" w:sz="4" w:space="0"/>
              <w:bottom w:val="single" w:color="auto" w:sz="4" w:space="0"/>
              <w:right w:val="single" w:color="auto" w:sz="4" w:space="0"/>
            </w:tcBorders>
            <w:noWrap w:val="0"/>
            <w:vAlign w:val="center"/>
          </w:tcPr>
          <w:p>
            <w:pPr>
              <w:snapToGrid w:val="0"/>
              <w:spacing w:after="0" w:line="240" w:lineRule="atLeast"/>
              <w:jc w:val="center"/>
              <w:rPr>
                <w:rFonts w:hint="eastAsia" w:ascii="宋体" w:hAnsi="宋体" w:cs="宋体"/>
                <w:b/>
                <w:bCs/>
                <w:sz w:val="24"/>
                <w:szCs w:val="24"/>
              </w:rPr>
            </w:pPr>
            <w:r>
              <w:rPr>
                <w:rFonts w:hint="eastAsia" w:ascii="宋体" w:hAnsi="宋体" w:cs="宋体"/>
                <w:b/>
                <w:bCs/>
                <w:sz w:val="24"/>
                <w:szCs w:val="24"/>
              </w:rPr>
              <w:t>项目名称</w:t>
            </w:r>
          </w:p>
        </w:tc>
        <w:tc>
          <w:tcPr>
            <w:tcW w:w="1678" w:type="dxa"/>
            <w:tcBorders>
              <w:top w:val="single" w:color="auto" w:sz="4" w:space="0"/>
              <w:left w:val="single" w:color="auto" w:sz="4" w:space="0"/>
              <w:bottom w:val="single" w:color="auto" w:sz="4" w:space="0"/>
              <w:right w:val="single" w:color="auto" w:sz="4" w:space="0"/>
            </w:tcBorders>
            <w:noWrap w:val="0"/>
            <w:vAlign w:val="center"/>
          </w:tcPr>
          <w:p>
            <w:pPr>
              <w:snapToGrid w:val="0"/>
              <w:spacing w:after="0" w:line="240" w:lineRule="atLeast"/>
              <w:ind w:firstLine="120" w:firstLineChars="50"/>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服务期</w:t>
            </w:r>
          </w:p>
        </w:tc>
        <w:tc>
          <w:tcPr>
            <w:tcW w:w="3355" w:type="dxa"/>
            <w:tcBorders>
              <w:top w:val="single" w:color="auto" w:sz="4" w:space="0"/>
              <w:left w:val="single" w:color="auto" w:sz="4" w:space="0"/>
              <w:bottom w:val="single" w:color="auto" w:sz="4" w:space="0"/>
              <w:right w:val="single" w:color="auto" w:sz="4" w:space="0"/>
            </w:tcBorders>
            <w:noWrap w:val="0"/>
            <w:vAlign w:val="center"/>
          </w:tcPr>
          <w:p>
            <w:pPr>
              <w:snapToGrid w:val="0"/>
              <w:spacing w:after="0" w:line="240" w:lineRule="atLeast"/>
              <w:jc w:val="center"/>
              <w:rPr>
                <w:rFonts w:hint="eastAsia" w:ascii="宋体" w:hAnsi="宋体" w:cs="宋体"/>
                <w:b/>
                <w:bCs/>
                <w:sz w:val="24"/>
                <w:szCs w:val="24"/>
              </w:rPr>
            </w:pPr>
            <w:r>
              <w:rPr>
                <w:rFonts w:hint="eastAsia" w:ascii="宋体" w:hAnsi="宋体" w:cs="宋体"/>
                <w:b/>
                <w:bCs/>
                <w:sz w:val="24"/>
                <w:szCs w:val="24"/>
                <w:lang w:val="en-US" w:eastAsia="zh-CN"/>
              </w:rPr>
              <w:t>维保</w:t>
            </w:r>
            <w:r>
              <w:rPr>
                <w:rFonts w:hint="eastAsia" w:ascii="宋体" w:hAnsi="宋体" w:cs="宋体"/>
                <w:b/>
                <w:bCs/>
                <w:sz w:val="24"/>
                <w:szCs w:val="24"/>
              </w:rPr>
              <w:t>费（元/年）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5" w:hRule="atLeast"/>
        </w:trPr>
        <w:tc>
          <w:tcPr>
            <w:tcW w:w="835" w:type="dxa"/>
            <w:tcBorders>
              <w:left w:val="single" w:color="auto" w:sz="4" w:space="0"/>
              <w:right w:val="single" w:color="auto" w:sz="4" w:space="0"/>
            </w:tcBorders>
            <w:noWrap w:val="0"/>
            <w:vAlign w:val="center"/>
          </w:tcPr>
          <w:p>
            <w:pPr>
              <w:snapToGrid w:val="0"/>
              <w:spacing w:after="0" w:line="240" w:lineRule="atLeast"/>
              <w:jc w:val="center"/>
              <w:rPr>
                <w:rFonts w:hint="eastAsia" w:ascii="宋体" w:hAnsi="宋体" w:cs="宋体"/>
                <w:b w:val="0"/>
                <w:bCs w:val="0"/>
                <w:sz w:val="24"/>
                <w:szCs w:val="24"/>
              </w:rPr>
            </w:pPr>
            <w:r>
              <w:rPr>
                <w:rFonts w:hint="eastAsia" w:ascii="宋体" w:hAnsi="宋体" w:cs="宋体"/>
                <w:b w:val="0"/>
                <w:bCs w:val="0"/>
                <w:sz w:val="24"/>
                <w:szCs w:val="24"/>
              </w:rPr>
              <w:t>1</w:t>
            </w:r>
          </w:p>
        </w:tc>
        <w:tc>
          <w:tcPr>
            <w:tcW w:w="2753" w:type="dxa"/>
            <w:tcBorders>
              <w:left w:val="single" w:color="auto" w:sz="4" w:space="0"/>
              <w:right w:val="single" w:color="auto" w:sz="4" w:space="0"/>
            </w:tcBorders>
            <w:noWrap w:val="0"/>
            <w:vAlign w:val="center"/>
          </w:tcPr>
          <w:p>
            <w:pPr>
              <w:snapToGrid w:val="0"/>
              <w:spacing w:after="0" w:line="240" w:lineRule="atLeast"/>
              <w:ind w:firstLine="120" w:firstLineChars="50"/>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启东市党风廉政建设教育中心电梯维保项目（</w:t>
            </w:r>
            <w:r>
              <w:rPr>
                <w:rFonts w:hint="eastAsia" w:ascii="宋体" w:hAnsi="宋体" w:eastAsia="宋体" w:cs="宋体"/>
                <w:b w:val="0"/>
                <w:bCs w:val="0"/>
                <w:sz w:val="24"/>
                <w:szCs w:val="24"/>
                <w:lang w:val="en-US" w:eastAsia="zh-CN"/>
              </w:rPr>
              <w:t>第二次</w:t>
            </w:r>
            <w:r>
              <w:rPr>
                <w:rFonts w:hint="eastAsia" w:ascii="宋体" w:hAnsi="宋体" w:eastAsia="宋体" w:cs="宋体"/>
                <w:b w:val="0"/>
                <w:bCs w:val="0"/>
                <w:sz w:val="24"/>
                <w:szCs w:val="24"/>
                <w:lang w:eastAsia="zh-CN"/>
              </w:rPr>
              <w:t>）</w:t>
            </w:r>
          </w:p>
        </w:tc>
        <w:tc>
          <w:tcPr>
            <w:tcW w:w="1678" w:type="dxa"/>
            <w:tcBorders>
              <w:left w:val="single" w:color="auto" w:sz="4" w:space="0"/>
              <w:right w:val="single" w:color="auto" w:sz="4" w:space="0"/>
            </w:tcBorders>
            <w:noWrap w:val="0"/>
            <w:vAlign w:val="center"/>
          </w:tcPr>
          <w:p>
            <w:pPr>
              <w:snapToGrid w:val="0"/>
              <w:spacing w:after="0" w:line="240" w:lineRule="atLeast"/>
              <w:jc w:val="center"/>
              <w:rPr>
                <w:rFonts w:hint="eastAsia" w:ascii="宋体" w:hAnsi="宋体" w:cs="宋体"/>
                <w:b w:val="0"/>
                <w:bCs w:val="0"/>
                <w:sz w:val="24"/>
                <w:szCs w:val="24"/>
              </w:rPr>
            </w:pPr>
            <w:r>
              <w:rPr>
                <w:rFonts w:hint="eastAsia" w:ascii="宋体" w:hAnsi="宋体" w:cs="宋体"/>
                <w:b w:val="0"/>
                <w:bCs w:val="0"/>
                <w:sz w:val="24"/>
                <w:szCs w:val="24"/>
                <w:lang w:val="en-US" w:eastAsia="zh-CN"/>
              </w:rPr>
              <w:t>1</w:t>
            </w:r>
            <w:r>
              <w:rPr>
                <w:rFonts w:hint="eastAsia" w:ascii="宋体" w:hAnsi="宋体" w:cs="宋体"/>
                <w:b w:val="0"/>
                <w:bCs w:val="0"/>
                <w:sz w:val="24"/>
                <w:szCs w:val="24"/>
              </w:rPr>
              <w:t>年</w:t>
            </w:r>
          </w:p>
        </w:tc>
        <w:tc>
          <w:tcPr>
            <w:tcW w:w="3355" w:type="dxa"/>
            <w:tcBorders>
              <w:left w:val="single" w:color="auto" w:sz="4" w:space="0"/>
              <w:right w:val="single" w:color="auto" w:sz="4" w:space="0"/>
            </w:tcBorders>
            <w:noWrap w:val="0"/>
            <w:vAlign w:val="center"/>
          </w:tcPr>
          <w:p>
            <w:pPr>
              <w:snapToGrid w:val="0"/>
              <w:spacing w:after="0" w:line="240" w:lineRule="atLeast"/>
              <w:rPr>
                <w:rFonts w:hint="eastAsia" w:ascii="宋体" w:hAnsi="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trPr>
        <w:tc>
          <w:tcPr>
            <w:tcW w:w="8621" w:type="dxa"/>
            <w:gridSpan w:val="4"/>
            <w:tcBorders>
              <w:left w:val="single" w:color="auto" w:sz="4" w:space="0"/>
              <w:right w:val="single" w:color="auto" w:sz="4" w:space="0"/>
            </w:tcBorders>
            <w:noWrap w:val="0"/>
            <w:vAlign w:val="center"/>
          </w:tcPr>
          <w:p>
            <w:pPr>
              <w:snapToGrid w:val="0"/>
              <w:spacing w:after="0" w:line="240" w:lineRule="atLeast"/>
              <w:rPr>
                <w:rFonts w:hint="eastAsia"/>
                <w:b/>
                <w:bCs/>
                <w:lang w:eastAsia="zh-CN"/>
              </w:rPr>
            </w:pPr>
            <w:r>
              <w:rPr>
                <w:rFonts w:hint="eastAsia"/>
                <w:b/>
                <w:bCs/>
              </w:rPr>
              <w:t>注：本项目预算为一年度的预算，根据采购结果，采取一次招标</w:t>
            </w:r>
            <w:r>
              <w:rPr>
                <w:rFonts w:hint="eastAsia"/>
                <w:b/>
                <w:bCs/>
                <w:lang w:val="en-US" w:eastAsia="zh-CN"/>
              </w:rPr>
              <w:t>三</w:t>
            </w:r>
            <w:r>
              <w:rPr>
                <w:rFonts w:hint="eastAsia"/>
                <w:b/>
                <w:bCs/>
              </w:rPr>
              <w:t>年沿用。一年合同期满后，采购人未获得预算批复或因政策变化采购需求取消，则经采购人书面通知供应商后，合同到期终止不再续签，或受不可抗力的影响，次年预算压减，采购人也将根据新的预算重新采购，供应商自行承担相应风险。服务期自合同签订之日起一年，实行一年一考核一续签合同的办法，采购人有权单方决定是否续签后一年度合同，除政策性调整(如最低工资等)外，合同金额不作改变。如果成交供应商没有达到合同所要求履行条件之一的，则采购人有权在委托期限内随时终止合同。</w:t>
            </w:r>
          </w:p>
        </w:tc>
      </w:tr>
    </w:tbl>
    <w:p>
      <w:pPr>
        <w:spacing w:after="120" w:line="420" w:lineRule="exact"/>
        <w:ind w:firstLine="560" w:firstLineChars="200"/>
        <w:rPr>
          <w:rFonts w:hint="eastAsia" w:ascii="宋体" w:hAnsi="宋体" w:eastAsia="宋体" w:cs="宋体"/>
          <w:sz w:val="28"/>
          <w:szCs w:val="28"/>
        </w:rPr>
      </w:pPr>
    </w:p>
    <w:p>
      <w:pPr>
        <w:spacing w:after="120" w:line="4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供应商名称（全称并加盖公章）：</w:t>
      </w:r>
    </w:p>
    <w:p>
      <w:pPr>
        <w:spacing w:after="120" w:line="4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法定代表人或被授权人（签字）：</w:t>
      </w:r>
    </w:p>
    <w:p>
      <w:pPr>
        <w:spacing w:after="120" w:line="4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日期：     年    月   日</w:t>
      </w:r>
    </w:p>
    <w:p>
      <w:pPr>
        <w:pStyle w:val="11"/>
        <w:rPr>
          <w:rFonts w:hint="eastAsia" w:ascii="宋体" w:hAnsi="宋体" w:eastAsia="宋体" w:cs="宋体"/>
        </w:rPr>
      </w:pP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说明：供应商可按以上格式</w:t>
      </w:r>
      <w:r>
        <w:rPr>
          <w:rFonts w:hint="eastAsia" w:ascii="宋体" w:hAnsi="宋体" w:eastAsia="宋体" w:cs="宋体"/>
          <w:sz w:val="28"/>
          <w:szCs w:val="28"/>
          <w:lang w:val="en-US" w:eastAsia="zh-CN"/>
        </w:rPr>
        <w:t>提前</w:t>
      </w:r>
      <w:r>
        <w:rPr>
          <w:rFonts w:hint="eastAsia" w:ascii="宋体" w:hAnsi="宋体" w:eastAsia="宋体" w:cs="宋体"/>
          <w:sz w:val="28"/>
          <w:szCs w:val="28"/>
        </w:rPr>
        <w:t>制作“最后报价一览表”，签字并加盖单位公章，供最后报价时使用。</w:t>
      </w:r>
    </w:p>
    <w:p>
      <w:pPr>
        <w:keepNext w:val="0"/>
        <w:keepLines w:val="0"/>
        <w:pageBreakBefore w:val="0"/>
        <w:kinsoku/>
        <w:wordWrap/>
        <w:overflowPunct/>
        <w:topLinePunct w:val="0"/>
        <w:bidi w:val="0"/>
        <w:ind w:left="0" w:leftChars="0" w:firstLine="560" w:firstLineChars="200"/>
        <w:jc w:val="left"/>
        <w:rPr>
          <w:rFonts w:hint="eastAsia" w:ascii="宋体" w:hAnsi="宋体" w:eastAsia="宋体" w:cs="宋体"/>
          <w:sz w:val="28"/>
          <w:szCs w:val="28"/>
        </w:rPr>
      </w:pPr>
    </w:p>
    <w:p>
      <w:pPr>
        <w:keepNext w:val="0"/>
        <w:keepLines w:val="0"/>
        <w:pageBreakBefore w:val="0"/>
        <w:kinsoku/>
        <w:wordWrap/>
        <w:overflowPunct/>
        <w:topLinePunct w:val="0"/>
        <w:bidi w:val="0"/>
        <w:ind w:left="0" w:leftChars="0" w:firstLine="560" w:firstLineChars="200"/>
        <w:jc w:val="left"/>
        <w:rPr>
          <w:rFonts w:hint="eastAsia" w:ascii="宋体" w:hAnsi="宋体" w:eastAsia="宋体" w:cs="宋体"/>
          <w:sz w:val="28"/>
          <w:szCs w:val="28"/>
        </w:rPr>
      </w:pPr>
    </w:p>
    <w:p>
      <w:pPr>
        <w:keepNext w:val="0"/>
        <w:keepLines w:val="0"/>
        <w:pageBreakBefore w:val="0"/>
        <w:kinsoku/>
        <w:wordWrap/>
        <w:overflowPunct/>
        <w:topLinePunct w:val="0"/>
        <w:bidi w:val="0"/>
        <w:ind w:left="0" w:leftChars="0" w:firstLine="560" w:firstLineChars="200"/>
        <w:jc w:val="left"/>
        <w:rPr>
          <w:rFonts w:hint="eastAsia" w:ascii="宋体" w:hAnsi="宋体" w:eastAsia="宋体" w:cs="宋体"/>
          <w:sz w:val="28"/>
          <w:szCs w:val="28"/>
        </w:rPr>
      </w:pPr>
    </w:p>
    <w:p>
      <w:pPr>
        <w:keepNext w:val="0"/>
        <w:keepLines w:val="0"/>
        <w:pageBreakBefore w:val="0"/>
        <w:kinsoku/>
        <w:wordWrap/>
        <w:overflowPunct/>
        <w:topLinePunct w:val="0"/>
        <w:bidi w:val="0"/>
        <w:ind w:left="0" w:leftChars="0" w:firstLine="560" w:firstLineChars="200"/>
        <w:jc w:val="left"/>
        <w:rPr>
          <w:rFonts w:hint="eastAsia" w:ascii="宋体" w:hAnsi="宋体" w:eastAsia="宋体" w:cs="宋体"/>
          <w:sz w:val="28"/>
          <w:szCs w:val="28"/>
        </w:rPr>
      </w:pPr>
    </w:p>
    <w:p>
      <w:pPr>
        <w:keepNext w:val="0"/>
        <w:keepLines w:val="0"/>
        <w:pageBreakBefore w:val="0"/>
        <w:kinsoku/>
        <w:wordWrap/>
        <w:overflowPunct/>
        <w:topLinePunct w:val="0"/>
        <w:bidi w:val="0"/>
        <w:ind w:left="0" w:leftChars="0" w:firstLine="560" w:firstLineChars="200"/>
        <w:jc w:val="left"/>
        <w:rPr>
          <w:rFonts w:hint="eastAsia" w:ascii="宋体" w:hAnsi="宋体" w:eastAsia="宋体" w:cs="宋体"/>
          <w:sz w:val="28"/>
          <w:szCs w:val="28"/>
        </w:rPr>
      </w:pPr>
    </w:p>
    <w:p>
      <w:pPr>
        <w:keepNext w:val="0"/>
        <w:keepLines w:val="0"/>
        <w:pageBreakBefore w:val="0"/>
        <w:kinsoku/>
        <w:wordWrap/>
        <w:overflowPunct/>
        <w:topLinePunct w:val="0"/>
        <w:bidi w:val="0"/>
        <w:ind w:left="0" w:leftChars="0" w:firstLine="560" w:firstLineChars="200"/>
        <w:jc w:val="left"/>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angSong_GB2312">
    <w:altName w:val="仿宋_GB2312"/>
    <w:panose1 w:val="02010609060101010101"/>
    <w:charset w:val="86"/>
    <w:family w:val="modern"/>
    <w:pitch w:val="default"/>
    <w:sig w:usb0="00000000" w:usb1="00000000"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340811"/>
    </w:sdtPr>
    <w:sdtContent>
      <w:p>
        <w:pPr>
          <w:pStyle w:val="3"/>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35606E"/>
    <w:multiLevelType w:val="singleLevel"/>
    <w:tmpl w:val="9C35606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YTM4ZDQ0OTIyOTc4ZDI1MjJiMzJjMTU1ODUxMTgifQ=="/>
  </w:docVars>
  <w:rsids>
    <w:rsidRoot w:val="13187B5F"/>
    <w:rsid w:val="00A879E6"/>
    <w:rsid w:val="01140009"/>
    <w:rsid w:val="014D4677"/>
    <w:rsid w:val="01785B98"/>
    <w:rsid w:val="01984FCB"/>
    <w:rsid w:val="01F860C0"/>
    <w:rsid w:val="02BF77F6"/>
    <w:rsid w:val="030A6CC4"/>
    <w:rsid w:val="035C5045"/>
    <w:rsid w:val="03A10E37"/>
    <w:rsid w:val="0453291E"/>
    <w:rsid w:val="04B073F7"/>
    <w:rsid w:val="04CA4C2A"/>
    <w:rsid w:val="068943A3"/>
    <w:rsid w:val="06C1551D"/>
    <w:rsid w:val="06F02D57"/>
    <w:rsid w:val="07D653C6"/>
    <w:rsid w:val="07DE44FA"/>
    <w:rsid w:val="08F05F39"/>
    <w:rsid w:val="0ADF0A36"/>
    <w:rsid w:val="0B1A381C"/>
    <w:rsid w:val="0C5164CB"/>
    <w:rsid w:val="0CA94959"/>
    <w:rsid w:val="0D1B1F53"/>
    <w:rsid w:val="0D5648B3"/>
    <w:rsid w:val="0D6B4803"/>
    <w:rsid w:val="0DD16F1A"/>
    <w:rsid w:val="0EC6410E"/>
    <w:rsid w:val="0F2F360E"/>
    <w:rsid w:val="10195736"/>
    <w:rsid w:val="108160EB"/>
    <w:rsid w:val="109A22B0"/>
    <w:rsid w:val="110E6C99"/>
    <w:rsid w:val="123478B9"/>
    <w:rsid w:val="13187B5F"/>
    <w:rsid w:val="153B4ABB"/>
    <w:rsid w:val="15763D45"/>
    <w:rsid w:val="157B57FF"/>
    <w:rsid w:val="16302145"/>
    <w:rsid w:val="164976AB"/>
    <w:rsid w:val="165B77A0"/>
    <w:rsid w:val="181A3C00"/>
    <w:rsid w:val="185C1918"/>
    <w:rsid w:val="18825F7C"/>
    <w:rsid w:val="19197809"/>
    <w:rsid w:val="1972201E"/>
    <w:rsid w:val="1AC8277F"/>
    <w:rsid w:val="1B1F3BFD"/>
    <w:rsid w:val="1C3B6D9B"/>
    <w:rsid w:val="1DD91315"/>
    <w:rsid w:val="1F1A34E5"/>
    <w:rsid w:val="1F6513AC"/>
    <w:rsid w:val="2043516B"/>
    <w:rsid w:val="210B5CBC"/>
    <w:rsid w:val="21BC3427"/>
    <w:rsid w:val="226023D4"/>
    <w:rsid w:val="22DA0CD5"/>
    <w:rsid w:val="23A40CFC"/>
    <w:rsid w:val="23A64B10"/>
    <w:rsid w:val="23FE7D27"/>
    <w:rsid w:val="24767F96"/>
    <w:rsid w:val="24D86FD2"/>
    <w:rsid w:val="24F365B4"/>
    <w:rsid w:val="257A6CFB"/>
    <w:rsid w:val="25B83F05"/>
    <w:rsid w:val="26056EE9"/>
    <w:rsid w:val="28304227"/>
    <w:rsid w:val="28447ADD"/>
    <w:rsid w:val="286435B5"/>
    <w:rsid w:val="292C49EE"/>
    <w:rsid w:val="2A4E11F7"/>
    <w:rsid w:val="2B44207D"/>
    <w:rsid w:val="2B920D55"/>
    <w:rsid w:val="2C5E4091"/>
    <w:rsid w:val="2C8A2F9D"/>
    <w:rsid w:val="2D120F91"/>
    <w:rsid w:val="2F4852F2"/>
    <w:rsid w:val="2F745341"/>
    <w:rsid w:val="315048CA"/>
    <w:rsid w:val="32133C80"/>
    <w:rsid w:val="32815659"/>
    <w:rsid w:val="33323E4E"/>
    <w:rsid w:val="3344327C"/>
    <w:rsid w:val="339715FE"/>
    <w:rsid w:val="33FE013C"/>
    <w:rsid w:val="34D42833"/>
    <w:rsid w:val="351F7AFD"/>
    <w:rsid w:val="364014C6"/>
    <w:rsid w:val="36AD1C5D"/>
    <w:rsid w:val="372E04CB"/>
    <w:rsid w:val="37321D6A"/>
    <w:rsid w:val="37A27102"/>
    <w:rsid w:val="37CB1876"/>
    <w:rsid w:val="37DD6E3F"/>
    <w:rsid w:val="38284F1B"/>
    <w:rsid w:val="38BD6956"/>
    <w:rsid w:val="3956369B"/>
    <w:rsid w:val="397305AE"/>
    <w:rsid w:val="39C57793"/>
    <w:rsid w:val="3A5C7150"/>
    <w:rsid w:val="3C687FDC"/>
    <w:rsid w:val="3D3A1978"/>
    <w:rsid w:val="3DED69EA"/>
    <w:rsid w:val="3E2F1CF7"/>
    <w:rsid w:val="3EBD1E5D"/>
    <w:rsid w:val="3F1E4982"/>
    <w:rsid w:val="3FD339BE"/>
    <w:rsid w:val="40093884"/>
    <w:rsid w:val="40A318CD"/>
    <w:rsid w:val="41067DC3"/>
    <w:rsid w:val="4140381C"/>
    <w:rsid w:val="415D3AFD"/>
    <w:rsid w:val="41742F7F"/>
    <w:rsid w:val="417E4D21"/>
    <w:rsid w:val="42293D69"/>
    <w:rsid w:val="43E22422"/>
    <w:rsid w:val="455B692F"/>
    <w:rsid w:val="460C7C2A"/>
    <w:rsid w:val="46DD3374"/>
    <w:rsid w:val="47490A0A"/>
    <w:rsid w:val="48506A86"/>
    <w:rsid w:val="488A3088"/>
    <w:rsid w:val="4946617E"/>
    <w:rsid w:val="4D241CFD"/>
    <w:rsid w:val="4D344A7D"/>
    <w:rsid w:val="4D7A497A"/>
    <w:rsid w:val="4E3F66C2"/>
    <w:rsid w:val="4F840690"/>
    <w:rsid w:val="4FEF73E6"/>
    <w:rsid w:val="4FF71C55"/>
    <w:rsid w:val="504B134F"/>
    <w:rsid w:val="51031C29"/>
    <w:rsid w:val="51093CAA"/>
    <w:rsid w:val="510C4F82"/>
    <w:rsid w:val="523F235D"/>
    <w:rsid w:val="527D43C7"/>
    <w:rsid w:val="52AA6800"/>
    <w:rsid w:val="53360731"/>
    <w:rsid w:val="537D4B5F"/>
    <w:rsid w:val="53F0177D"/>
    <w:rsid w:val="55172F00"/>
    <w:rsid w:val="556C2493"/>
    <w:rsid w:val="55FE508E"/>
    <w:rsid w:val="58240E03"/>
    <w:rsid w:val="58586CFE"/>
    <w:rsid w:val="58C41FEA"/>
    <w:rsid w:val="5A2B3BB7"/>
    <w:rsid w:val="5B1909C7"/>
    <w:rsid w:val="5B9C5154"/>
    <w:rsid w:val="5BE8494D"/>
    <w:rsid w:val="5CBF734C"/>
    <w:rsid w:val="5D39209A"/>
    <w:rsid w:val="5EB512F7"/>
    <w:rsid w:val="5F6146EB"/>
    <w:rsid w:val="5FAA48C6"/>
    <w:rsid w:val="600E31A3"/>
    <w:rsid w:val="60FC0281"/>
    <w:rsid w:val="613262E2"/>
    <w:rsid w:val="61736957"/>
    <w:rsid w:val="618D5C6B"/>
    <w:rsid w:val="62384FA1"/>
    <w:rsid w:val="626A1B08"/>
    <w:rsid w:val="628A7090"/>
    <w:rsid w:val="62A36DC8"/>
    <w:rsid w:val="63C811DC"/>
    <w:rsid w:val="63C84E12"/>
    <w:rsid w:val="6429154F"/>
    <w:rsid w:val="669E4476"/>
    <w:rsid w:val="67851192"/>
    <w:rsid w:val="686D2352"/>
    <w:rsid w:val="687600D8"/>
    <w:rsid w:val="695A5E6B"/>
    <w:rsid w:val="699E02E9"/>
    <w:rsid w:val="6A5827AD"/>
    <w:rsid w:val="6B1F1E3B"/>
    <w:rsid w:val="6B945E48"/>
    <w:rsid w:val="6BD94320"/>
    <w:rsid w:val="6BEA76B5"/>
    <w:rsid w:val="6C2A305D"/>
    <w:rsid w:val="6D4D62AE"/>
    <w:rsid w:val="6D8D2B4F"/>
    <w:rsid w:val="6DB66E05"/>
    <w:rsid w:val="6F0B6CBF"/>
    <w:rsid w:val="6F9264B3"/>
    <w:rsid w:val="71494FDF"/>
    <w:rsid w:val="71801AB8"/>
    <w:rsid w:val="71EF1335"/>
    <w:rsid w:val="72CD2781"/>
    <w:rsid w:val="74012E1C"/>
    <w:rsid w:val="7447614D"/>
    <w:rsid w:val="74E25E76"/>
    <w:rsid w:val="754D6523"/>
    <w:rsid w:val="758D0CB2"/>
    <w:rsid w:val="770A5807"/>
    <w:rsid w:val="77721195"/>
    <w:rsid w:val="78097591"/>
    <w:rsid w:val="78577977"/>
    <w:rsid w:val="786A41B8"/>
    <w:rsid w:val="78714DEE"/>
    <w:rsid w:val="787D213D"/>
    <w:rsid w:val="78AC657F"/>
    <w:rsid w:val="7A0917AF"/>
    <w:rsid w:val="7A1D2509"/>
    <w:rsid w:val="7A1F6562"/>
    <w:rsid w:val="7ABC1938"/>
    <w:rsid w:val="7CA06C16"/>
    <w:rsid w:val="7CA258FA"/>
    <w:rsid w:val="7CBB3234"/>
    <w:rsid w:val="7E1F6B73"/>
    <w:rsid w:val="7EE06F82"/>
    <w:rsid w:val="7F9A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99"/>
    <w:pPr>
      <w:spacing w:after="120"/>
    </w:pPr>
    <w:rPr>
      <w:kern w:val="0"/>
      <w:sz w:val="24"/>
      <w:szCs w:val="24"/>
    </w:rPr>
  </w:style>
  <w:style w:type="paragraph" w:styleId="3">
    <w:name w:val="footer"/>
    <w:basedOn w:val="1"/>
    <w:autoRedefine/>
    <w:unhideWhenUsed/>
    <w:qFormat/>
    <w:uiPriority w:val="99"/>
    <w:pPr>
      <w:tabs>
        <w:tab w:val="center" w:pos="4153"/>
        <w:tab w:val="right" w:pos="8306"/>
      </w:tabs>
      <w:snapToGrid w:val="0"/>
      <w:jc w:val="left"/>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Emphasis"/>
    <w:basedOn w:val="6"/>
    <w:autoRedefine/>
    <w:qFormat/>
    <w:uiPriority w:val="0"/>
    <w:rPr>
      <w:color w:val="F73131"/>
    </w:rPr>
  </w:style>
  <w:style w:type="character" w:styleId="8">
    <w:name w:val="Hyperlink"/>
    <w:basedOn w:val="6"/>
    <w:autoRedefine/>
    <w:qFormat/>
    <w:uiPriority w:val="0"/>
    <w:rPr>
      <w:color w:val="2440B3"/>
      <w:u w:val="none"/>
    </w:rPr>
  </w:style>
  <w:style w:type="character" w:styleId="9">
    <w:name w:val="HTML Cite"/>
    <w:basedOn w:val="6"/>
    <w:autoRedefine/>
    <w:qFormat/>
    <w:uiPriority w:val="0"/>
    <w:rPr>
      <w:color w:val="008000"/>
    </w:rPr>
  </w:style>
  <w:style w:type="paragraph" w:customStyle="1" w:styleId="10">
    <w:name w:val="列出段落1"/>
    <w:basedOn w:val="1"/>
    <w:qFormat/>
    <w:uiPriority w:val="0"/>
    <w:pPr>
      <w:ind w:firstLine="420" w:firstLineChars="200"/>
    </w:pPr>
    <w:rPr>
      <w:rFonts w:ascii="Calibri" w:hAnsi="Calibri"/>
      <w:szCs w:val="22"/>
    </w:rPr>
  </w:style>
  <w:style w:type="paragraph" w:customStyle="1" w:styleId="11">
    <w:name w:val="段"/>
    <w:next w:val="1"/>
    <w:autoRedefine/>
    <w:qFormat/>
    <w:uiPriority w:val="0"/>
    <w:pPr>
      <w:autoSpaceDE w:val="0"/>
      <w:autoSpaceDN w:val="0"/>
      <w:ind w:firstLine="200"/>
      <w:jc w:val="both"/>
    </w:pPr>
    <w:rPr>
      <w:rFonts w:ascii="宋体" w:hAnsi="Times New Roman" w:eastAsia="宋体" w:cs="Times New Roman"/>
      <w:sz w:val="21"/>
      <w:lang w:val="en-US" w:eastAsia="zh-CN" w:bidi="ar-SA"/>
    </w:rPr>
  </w:style>
  <w:style w:type="character" w:customStyle="1" w:styleId="12">
    <w:name w:val="c-icon29"/>
    <w:basedOn w:val="6"/>
    <w:autoRedefine/>
    <w:qFormat/>
    <w:uiPriority w:val="0"/>
  </w:style>
  <w:style w:type="character" w:customStyle="1" w:styleId="13">
    <w:name w:val="hover24"/>
    <w:basedOn w:val="6"/>
    <w:qFormat/>
    <w:uiPriority w:val="0"/>
    <w:rPr>
      <w:color w:val="315EFB"/>
    </w:rPr>
  </w:style>
  <w:style w:type="character" w:customStyle="1" w:styleId="14">
    <w:name w:val="hover25"/>
    <w:basedOn w:val="6"/>
    <w:autoRedefine/>
    <w:qFormat/>
    <w:uiPriority w:val="0"/>
  </w:style>
  <w:style w:type="character" w:customStyle="1" w:styleId="15">
    <w:name w:val="hover26"/>
    <w:basedOn w:val="6"/>
    <w:autoRedefine/>
    <w:qFormat/>
    <w:uiPriority w:val="0"/>
    <w:rPr>
      <w:color w:val="315EFB"/>
    </w:rPr>
  </w:style>
  <w:style w:type="character" w:customStyle="1" w:styleId="16">
    <w:name w:val="hover27"/>
    <w:basedOn w:val="6"/>
    <w:qFormat/>
    <w:uiPriority w:val="0"/>
    <w:rPr>
      <w:color w:val="315EFB"/>
      <w:shd w:val="clear" w:fill="F0F3FD"/>
    </w:rPr>
  </w:style>
  <w:style w:type="character" w:customStyle="1" w:styleId="17">
    <w:name w:val="c-icon28"/>
    <w:basedOn w:val="6"/>
    <w:autoRedefine/>
    <w:qFormat/>
    <w:uiPriority w:val="0"/>
  </w:style>
  <w:style w:type="paragraph" w:customStyle="1" w:styleId="18">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character" w:customStyle="1" w:styleId="19">
    <w:name w:val="NormalCharacter"/>
    <w:autoRedefine/>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12495</Words>
  <Characters>13034</Characters>
  <Lines>0</Lines>
  <Paragraphs>0</Paragraphs>
  <TotalTime>42</TotalTime>
  <ScaleCrop>false</ScaleCrop>
  <LinksUpToDate>false</LinksUpToDate>
  <CharactersWithSpaces>13553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2023-02-17T02:03:00Z</dcterms:created>
  <dc:creator>好家伙</dc:creator>
  <cp:lastModifiedBy>吹雪</cp:lastModifiedBy>
  <dcterms:modified xsi:type="dcterms:W3CDTF">2024-04-25T02:40:49Z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1D2610CF16F64F13A5C5DB4B1C52852A_13</vt:lpwstr>
  </property>
</Properties>
</file>